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E3F5F" w14:textId="77777777" w:rsidR="001F22D0" w:rsidRDefault="006B3BC4">
      <w:pPr>
        <w:spacing w:after="0" w:line="276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Załącznik Nr 9 do SWZ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Wykaz minimalnych parametrów technicznych i cech funkcjonalnych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(składany wraz z ofertą)</w:t>
      </w:r>
    </w:p>
    <w:p w14:paraId="18020604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AD8D83" w14:textId="77777777" w:rsidR="001F22D0" w:rsidRDefault="006B3BC4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Wykaz minimalnych parametrów technicznych i cech funkcjonalnych, w celu potwierdzenia zgodności oferowanych dostaw (opraw oświetleniowych) z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wymaganiami określonymi w opisie przedmiotu zamówienia i wymaganiami związanymi z realizacją zamówienia</w:t>
      </w:r>
    </w:p>
    <w:p w14:paraId="3D1AAE0F" w14:textId="77777777" w:rsidR="001F22D0" w:rsidRDefault="001F22D0">
      <w:pPr>
        <w:tabs>
          <w:tab w:val="left" w:pos="567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3945CA0" w14:textId="77777777" w:rsidR="001F22D0" w:rsidRDefault="001F22D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B24489" w14:textId="77777777" w:rsidR="001F22D0" w:rsidRDefault="006B3BC4">
      <w:pPr>
        <w:pStyle w:val="Akapitzlist"/>
        <w:numPr>
          <w:ilvl w:val="0"/>
          <w:numId w:val="2"/>
        </w:numPr>
        <w:spacing w:after="0"/>
        <w:ind w:left="426" w:hanging="426"/>
        <w:jc w:val="both"/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Oprawy oświetleniowe drogowe*</w:t>
      </w:r>
    </w:p>
    <w:p w14:paraId="2AFC1084" w14:textId="77777777" w:rsidR="001F22D0" w:rsidRDefault="001F22D0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Style w:val="Tabela-Siatka"/>
        <w:tblW w:w="10833" w:type="dxa"/>
        <w:tblInd w:w="-960" w:type="dxa"/>
        <w:tblLayout w:type="fixed"/>
        <w:tblLook w:val="04A0" w:firstRow="1" w:lastRow="0" w:firstColumn="1" w:lastColumn="0" w:noHBand="0" w:noVBand="1"/>
      </w:tblPr>
      <w:tblGrid>
        <w:gridCol w:w="683"/>
        <w:gridCol w:w="5100"/>
        <w:gridCol w:w="1834"/>
        <w:gridCol w:w="3216"/>
      </w:tblGrid>
      <w:tr w:rsidR="001F22D0" w14:paraId="2DC82D53" w14:textId="77777777">
        <w:trPr>
          <w:trHeight w:val="2436"/>
        </w:trPr>
        <w:tc>
          <w:tcPr>
            <w:tcW w:w="682" w:type="dxa"/>
            <w:shd w:val="pct5" w:color="auto" w:fill="auto"/>
          </w:tcPr>
          <w:p w14:paraId="23125C24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5100" w:type="dxa"/>
            <w:shd w:val="pct5" w:color="auto" w:fill="auto"/>
            <w:vAlign w:val="center"/>
          </w:tcPr>
          <w:p w14:paraId="12658FC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Dane techniczne opraw</w:t>
            </w:r>
          </w:p>
          <w:p w14:paraId="5D4A39D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(parametr wymagany)</w:t>
            </w:r>
          </w:p>
        </w:tc>
        <w:tc>
          <w:tcPr>
            <w:tcW w:w="1834" w:type="dxa"/>
            <w:shd w:val="pct5" w:color="auto" w:fill="auto"/>
            <w:vAlign w:val="center"/>
          </w:tcPr>
          <w:p w14:paraId="039A81F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Oferowane parametry zaznaczyć</w:t>
            </w:r>
          </w:p>
          <w:p w14:paraId="5978C0CA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spełnia – TAK,</w:t>
            </w:r>
          </w:p>
          <w:p w14:paraId="0888D9F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nie spełnia – NIE</w:t>
            </w:r>
          </w:p>
          <w:p w14:paraId="051F2870" w14:textId="77777777" w:rsidR="001F22D0" w:rsidRDefault="001F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  <w:shd w:val="pct5" w:color="auto" w:fill="auto"/>
          </w:tcPr>
          <w:p w14:paraId="175EF149" w14:textId="77777777" w:rsidR="001F22D0" w:rsidRDefault="001F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5B3185" w14:textId="77777777" w:rsidR="001F22D0" w:rsidRDefault="001F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5879767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Dokumen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 na potwierdzenie zdefiniowanego wymogu technologicznego</w:t>
            </w:r>
            <w:bookmarkStart w:id="1" w:name="_Hlk108003968"/>
            <w:bookmarkEnd w:id="1"/>
          </w:p>
        </w:tc>
      </w:tr>
      <w:tr w:rsidR="001F22D0" w14:paraId="02DB84C6" w14:textId="77777777">
        <w:trPr>
          <w:trHeight w:val="300"/>
        </w:trPr>
        <w:tc>
          <w:tcPr>
            <w:tcW w:w="682" w:type="dxa"/>
          </w:tcPr>
          <w:p w14:paraId="737F99F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0" w:type="dxa"/>
          </w:tcPr>
          <w:p w14:paraId="0143CB78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Nominalne napięcie zasilania: 220-240V– 50Hz</w:t>
            </w:r>
          </w:p>
        </w:tc>
        <w:tc>
          <w:tcPr>
            <w:tcW w:w="1834" w:type="dxa"/>
          </w:tcPr>
          <w:p w14:paraId="20E1699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029C01FA" w14:textId="77777777" w:rsidR="001F22D0" w:rsidRDefault="006B3BC4">
            <w:pPr>
              <w:pStyle w:val="Akapitzlist"/>
              <w:spacing w:after="0" w:line="240" w:lineRule="auto"/>
              <w:ind w:left="91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    Karta techniczna oprawy,</w:t>
            </w:r>
          </w:p>
          <w:p w14:paraId="36047D1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certyfikat ENEC</w:t>
            </w:r>
          </w:p>
          <w:p w14:paraId="653EE1EF" w14:textId="77777777" w:rsidR="001F22D0" w:rsidRDefault="001F22D0">
            <w:pPr>
              <w:pStyle w:val="Akapitzlist"/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14:paraId="386E8470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22D0" w14:paraId="2803B513" w14:textId="77777777">
        <w:trPr>
          <w:trHeight w:val="300"/>
        </w:trPr>
        <w:tc>
          <w:tcPr>
            <w:tcW w:w="682" w:type="dxa"/>
          </w:tcPr>
          <w:p w14:paraId="3A81495E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0" w:type="dxa"/>
          </w:tcPr>
          <w:p w14:paraId="0CE85FCA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Nominalna moc oprawy 85W (z możliwością późniejszego przeprogramowania mocy oprawy w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zakresie 50-100W bez konieczności wymiany zasilacza )</w:t>
            </w:r>
          </w:p>
          <w:p w14:paraId="49AF7B2F" w14:textId="77777777" w:rsidR="001F22D0" w:rsidRDefault="001F22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C1599C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13B87F9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oprawy, certyfikat ENEC, Certyfikat ENEC+</w:t>
            </w:r>
          </w:p>
        </w:tc>
      </w:tr>
      <w:tr w:rsidR="001F22D0" w14:paraId="2E21359B" w14:textId="77777777">
        <w:trPr>
          <w:trHeight w:val="300"/>
        </w:trPr>
        <w:tc>
          <w:tcPr>
            <w:tcW w:w="682" w:type="dxa"/>
          </w:tcPr>
          <w:p w14:paraId="31465EFD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0" w:type="dxa"/>
          </w:tcPr>
          <w:p w14:paraId="73B6D584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Skuteczność świetlna oprawy dla mocy nominalnej (lm/W): minimum 150lm/W</w:t>
            </w:r>
          </w:p>
        </w:tc>
        <w:tc>
          <w:tcPr>
            <w:tcW w:w="1834" w:type="dxa"/>
          </w:tcPr>
          <w:p w14:paraId="482A1F57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1301262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Karta techniczna oprawy oraz certyfikat ENEC +</w:t>
            </w:r>
          </w:p>
        </w:tc>
      </w:tr>
      <w:tr w:rsidR="001F22D0" w14:paraId="5B1368C2" w14:textId="77777777">
        <w:trPr>
          <w:trHeight w:val="300"/>
        </w:trPr>
        <w:tc>
          <w:tcPr>
            <w:tcW w:w="682" w:type="dxa"/>
          </w:tcPr>
          <w:p w14:paraId="4B123ED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0" w:type="dxa"/>
          </w:tcPr>
          <w:p w14:paraId="1600CB05" w14:textId="77777777" w:rsidR="001F22D0" w:rsidRDefault="006B3BC4">
            <w:r>
              <w:rPr>
                <w:rFonts w:ascii="Times New Roman" w:hAnsi="Times New Roman"/>
                <w:sz w:val="24"/>
                <w:szCs w:val="24"/>
              </w:rPr>
              <w:t>Współczynnik mocy (PF):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Dla mocy nominalnej 85W  </w:t>
            </w:r>
            <w:r>
              <w:rPr>
                <w:rFonts w:ascii="Times New Roman" w:hAnsi="Times New Roman"/>
                <w:color w:val="0A0A0A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0.98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Dla mocy w zakresie 50-100W &gt;0.94</w:t>
            </w:r>
          </w:p>
        </w:tc>
        <w:tc>
          <w:tcPr>
            <w:tcW w:w="1834" w:type="dxa"/>
          </w:tcPr>
          <w:p w14:paraId="3779324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3F8B38EB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color w:val="000000"/>
                <w:sz w:val="24"/>
                <w:szCs w:val="24"/>
              </w:rPr>
              <w:t>sprawozdanie z badań z laboratorium posiadającego akredytację PCA</w:t>
            </w:r>
          </w:p>
        </w:tc>
      </w:tr>
      <w:tr w:rsidR="001F22D0" w14:paraId="3CEAB522" w14:textId="77777777">
        <w:trPr>
          <w:trHeight w:val="300"/>
        </w:trPr>
        <w:tc>
          <w:tcPr>
            <w:tcW w:w="682" w:type="dxa"/>
          </w:tcPr>
          <w:p w14:paraId="12A6CF1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0" w:type="dxa"/>
          </w:tcPr>
          <w:p w14:paraId="24628AEE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Zasilacz:</w:t>
            </w:r>
          </w:p>
          <w:p w14:paraId="7378986F" w14:textId="77777777" w:rsidR="001F22D0" w:rsidRDefault="006B3BC4">
            <w:pPr>
              <w:numPr>
                <w:ilvl w:val="1"/>
                <w:numId w:val="3"/>
              </w:numPr>
              <w:spacing w:after="0" w:line="240" w:lineRule="auto"/>
              <w:ind w:left="286" w:hanging="286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Układ zasilania niezintegrowany z układem świetlnym i optycznym, zainstalowany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br/>
              <w:t>w oddzielnej komorze montażowej,</w:t>
            </w:r>
          </w:p>
          <w:p w14:paraId="747CE191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Ochrona przeciwprzepięciowa wejścia: DM 6kV, CM 10KV</w:t>
            </w:r>
          </w:p>
        </w:tc>
        <w:tc>
          <w:tcPr>
            <w:tcW w:w="1834" w:type="dxa"/>
          </w:tcPr>
          <w:p w14:paraId="75E672A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24C88D8A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12189829" w14:textId="77777777">
        <w:trPr>
          <w:trHeight w:val="300"/>
        </w:trPr>
        <w:tc>
          <w:tcPr>
            <w:tcW w:w="682" w:type="dxa"/>
          </w:tcPr>
          <w:p w14:paraId="1333B69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0" w:type="dxa"/>
          </w:tcPr>
          <w:p w14:paraId="41EF8AA7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Ochrona od wzrostu i skoku napięcia: U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  <w:vertAlign w:val="subscript"/>
              </w:rPr>
              <w:t>oc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=20kV (ochron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nik wyposażony w diodę sygnalizacyjną)</w:t>
            </w:r>
          </w:p>
        </w:tc>
        <w:tc>
          <w:tcPr>
            <w:tcW w:w="1834" w:type="dxa"/>
          </w:tcPr>
          <w:p w14:paraId="1DA7086E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2BFB1CA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Karta techniczna, Certyfikat ENEC</w:t>
            </w:r>
          </w:p>
          <w:p w14:paraId="5B882C4E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(pozycja powinna występować na liście komponentów będąca załącznikiem do certyfikatu )</w:t>
            </w:r>
          </w:p>
        </w:tc>
      </w:tr>
      <w:tr w:rsidR="001F22D0" w14:paraId="200DF236" w14:textId="77777777">
        <w:trPr>
          <w:trHeight w:val="300"/>
        </w:trPr>
        <w:tc>
          <w:tcPr>
            <w:tcW w:w="682" w:type="dxa"/>
          </w:tcPr>
          <w:p w14:paraId="54921EF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5100" w:type="dxa"/>
          </w:tcPr>
          <w:p w14:paraId="04BB64F8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Współczynnik oddawania barw (Ra) &gt;70</w:t>
            </w:r>
          </w:p>
        </w:tc>
        <w:tc>
          <w:tcPr>
            <w:tcW w:w="1834" w:type="dxa"/>
          </w:tcPr>
          <w:p w14:paraId="241D332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0F3FDD0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Karta techniczna oprawy, </w:t>
            </w:r>
            <w:r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Certyfikat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ENEC+</w:t>
            </w:r>
          </w:p>
        </w:tc>
      </w:tr>
      <w:tr w:rsidR="001F22D0" w14:paraId="25EA7BEB" w14:textId="77777777">
        <w:trPr>
          <w:trHeight w:val="300"/>
        </w:trPr>
        <w:tc>
          <w:tcPr>
            <w:tcW w:w="682" w:type="dxa"/>
          </w:tcPr>
          <w:p w14:paraId="5211D7B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0" w:type="dxa"/>
          </w:tcPr>
          <w:p w14:paraId="118D2FA5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Trwałość strumienia świetlnego w oparciu raport LM-80 i memorandum techniczne TM-21: L95B10 powyżej 100,000h dla temperatury Ts≥85°C</w:t>
            </w:r>
          </w:p>
        </w:tc>
        <w:tc>
          <w:tcPr>
            <w:tcW w:w="1834" w:type="dxa"/>
          </w:tcPr>
          <w:p w14:paraId="70698E34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1C8142C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Raport z badań</w:t>
            </w:r>
          </w:p>
        </w:tc>
      </w:tr>
      <w:tr w:rsidR="001F22D0" w14:paraId="7DC98AEB" w14:textId="77777777">
        <w:trPr>
          <w:trHeight w:val="300"/>
        </w:trPr>
        <w:tc>
          <w:tcPr>
            <w:tcW w:w="682" w:type="dxa"/>
          </w:tcPr>
          <w:p w14:paraId="2FA0BABE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0" w:type="dxa"/>
          </w:tcPr>
          <w:p w14:paraId="4428D2BB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Rozsył światła: o charakterze drogowym, optymalnie dopasowany do specyfiki lokalizacji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danego punktu oświetleniowego. Oprawa powinna być wyposażona w co najmniej 10 różnych, wymiennych układów optycznych, przeznaczonych do różnych zastosowań drogowych.</w:t>
            </w:r>
          </w:p>
        </w:tc>
        <w:tc>
          <w:tcPr>
            <w:tcW w:w="1834" w:type="dxa"/>
          </w:tcPr>
          <w:p w14:paraId="6D29234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5E3A4DDA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oprawy, Certyfikat ENEC+</w:t>
            </w:r>
          </w:p>
        </w:tc>
      </w:tr>
      <w:tr w:rsidR="001F22D0" w14:paraId="10C7706F" w14:textId="77777777">
        <w:trPr>
          <w:trHeight w:val="3112"/>
        </w:trPr>
        <w:tc>
          <w:tcPr>
            <w:tcW w:w="682" w:type="dxa"/>
          </w:tcPr>
          <w:p w14:paraId="37E35AB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0" w:type="dxa"/>
          </w:tcPr>
          <w:p w14:paraId="281B4C49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Oprawa powinna być wyposażona w oz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nakowanie identyfikacyjne w postaci kodu kreskowego, kodu QR lub innego systemu identyfikacji produktu, umożliwiające Wykonawcy lub Zamawiającemu natychmiastowy dostęp do wszystkich parametrów oprawy (takich jak typ optyki, typ układu zasilającego, moc zna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mionowa, data produkcji itp.) za pomocą smartfona lub innego urządzenia mobilnego oraz bezpłatnej dla Zamawiającego aplikacji.</w:t>
            </w:r>
          </w:p>
          <w:p w14:paraId="3A4A5C65" w14:textId="77777777" w:rsidR="001F22D0" w:rsidRDefault="001F22D0">
            <w:pPr>
              <w:tabs>
                <w:tab w:val="left" w:pos="114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</w:tcPr>
          <w:p w14:paraId="51C75A4B" w14:textId="77777777" w:rsidR="001F22D0" w:rsidRDefault="006B3BC4">
            <w:pPr>
              <w:tabs>
                <w:tab w:val="left" w:pos="114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67DFD3A6" w14:textId="77777777" w:rsidR="001F22D0" w:rsidRDefault="006B3BC4">
            <w:pPr>
              <w:tabs>
                <w:tab w:val="left" w:pos="114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6EEB612B" w14:textId="77777777">
        <w:trPr>
          <w:trHeight w:val="300"/>
        </w:trPr>
        <w:tc>
          <w:tcPr>
            <w:tcW w:w="682" w:type="dxa"/>
          </w:tcPr>
          <w:p w14:paraId="4E30FFB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100" w:type="dxa"/>
          </w:tcPr>
          <w:p w14:paraId="48CF859F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Klasa szczelności: IP66</w:t>
            </w:r>
          </w:p>
        </w:tc>
        <w:tc>
          <w:tcPr>
            <w:tcW w:w="1834" w:type="dxa"/>
          </w:tcPr>
          <w:p w14:paraId="5C45F2B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027C202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Karta techniczna oprawy, certyfikat ENEC,</w:t>
            </w:r>
          </w:p>
        </w:tc>
      </w:tr>
      <w:tr w:rsidR="001F22D0" w14:paraId="52075D84" w14:textId="77777777">
        <w:trPr>
          <w:trHeight w:val="300"/>
        </w:trPr>
        <w:tc>
          <w:tcPr>
            <w:tcW w:w="682" w:type="dxa"/>
          </w:tcPr>
          <w:p w14:paraId="56FBB45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100" w:type="dxa"/>
          </w:tcPr>
          <w:p w14:paraId="114373C3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Temperatura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pracy ta (°C) -40 ... +50</w:t>
            </w:r>
          </w:p>
        </w:tc>
        <w:tc>
          <w:tcPr>
            <w:tcW w:w="1834" w:type="dxa"/>
          </w:tcPr>
          <w:p w14:paraId="63BCABB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5815A929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oprawy, certyfikat ENEC, Certyfikat ENEC+</w:t>
            </w:r>
          </w:p>
        </w:tc>
      </w:tr>
      <w:tr w:rsidR="001F22D0" w14:paraId="249E7C9A" w14:textId="77777777">
        <w:trPr>
          <w:trHeight w:val="300"/>
        </w:trPr>
        <w:tc>
          <w:tcPr>
            <w:tcW w:w="682" w:type="dxa"/>
          </w:tcPr>
          <w:p w14:paraId="7F9B5FB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100" w:type="dxa"/>
          </w:tcPr>
          <w:p w14:paraId="06B35290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Obudowa: Dwukomorowa z aluminium wtryskiwanym wysokociśnieniowo, obudowa gładka bez użebrowań w górnej pokrywie</w:t>
            </w:r>
          </w:p>
        </w:tc>
        <w:tc>
          <w:tcPr>
            <w:tcW w:w="1834" w:type="dxa"/>
          </w:tcPr>
          <w:p w14:paraId="28730D9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60DD4B4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6FB68F2C" w14:textId="77777777">
        <w:trPr>
          <w:trHeight w:val="300"/>
        </w:trPr>
        <w:tc>
          <w:tcPr>
            <w:tcW w:w="682" w:type="dxa"/>
          </w:tcPr>
          <w:p w14:paraId="6F1ED93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100" w:type="dxa"/>
          </w:tcPr>
          <w:p w14:paraId="0D7EFDF4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Otwór mon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tażowy: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Od Ø45 do Ø60</w:t>
            </w:r>
          </w:p>
        </w:tc>
        <w:tc>
          <w:tcPr>
            <w:tcW w:w="1834" w:type="dxa"/>
          </w:tcPr>
          <w:p w14:paraId="5BE1225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66EEBC3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070227DE" w14:textId="77777777">
        <w:trPr>
          <w:trHeight w:val="300"/>
        </w:trPr>
        <w:tc>
          <w:tcPr>
            <w:tcW w:w="682" w:type="dxa"/>
          </w:tcPr>
          <w:p w14:paraId="499F6FFD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100" w:type="dxa"/>
          </w:tcPr>
          <w:p w14:paraId="0498110F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Oprawa powinna być wyposażona w uniwersalny uchwyt umożliwiający montaż zarówno na wysięgniku, jak i bezpośrednio na słupie, oraz regulację kąta pochylenia w zakresie od -45° do +15°.</w:t>
            </w:r>
          </w:p>
          <w:p w14:paraId="58D31F40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Dopuszcza się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zastosowanie uchwytu o standardowym zakresie regulacji od -15° do +15°, pod warunkiem że taki zakres jest wystarczający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do prawidłowego ustawienia oprawy, tj. zapewnienia skierowania głównej wiązki światła na powierzchnię jezdni zgodnie z wymaganiami oświ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etleniowymi.</w:t>
            </w:r>
          </w:p>
          <w:p w14:paraId="3662B9EF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Uchwyt powinien być wykonany z tego samego materiału co korpus oprawy oraz wykończony powłoką malowania proszkowego w kolorze identycznym jak oprawa. Uchwyt musi stanowić integralną część oprawy i nie może być wykonany jako dodatkowy,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regulowany przegub.</w:t>
            </w:r>
          </w:p>
        </w:tc>
        <w:tc>
          <w:tcPr>
            <w:tcW w:w="1834" w:type="dxa"/>
          </w:tcPr>
          <w:p w14:paraId="0483DDF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TAK/NIE</w:t>
            </w:r>
          </w:p>
        </w:tc>
        <w:tc>
          <w:tcPr>
            <w:tcW w:w="3216" w:type="dxa"/>
          </w:tcPr>
          <w:p w14:paraId="51E63167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3B5E7E9F" w14:textId="77777777">
        <w:trPr>
          <w:trHeight w:val="300"/>
        </w:trPr>
        <w:tc>
          <w:tcPr>
            <w:tcW w:w="682" w:type="dxa"/>
          </w:tcPr>
          <w:p w14:paraId="78C0354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100" w:type="dxa"/>
          </w:tcPr>
          <w:p w14:paraId="00C7F501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Klasa ochronności oprawy: II</w:t>
            </w:r>
          </w:p>
        </w:tc>
        <w:tc>
          <w:tcPr>
            <w:tcW w:w="1834" w:type="dxa"/>
          </w:tcPr>
          <w:p w14:paraId="120EDA8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5EE2BC4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oprawy, Certyfikat ENEC</w:t>
            </w:r>
          </w:p>
        </w:tc>
      </w:tr>
      <w:tr w:rsidR="001F22D0" w14:paraId="0593502D" w14:textId="77777777">
        <w:trPr>
          <w:trHeight w:val="300"/>
        </w:trPr>
        <w:tc>
          <w:tcPr>
            <w:tcW w:w="682" w:type="dxa"/>
          </w:tcPr>
          <w:p w14:paraId="332C752D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100" w:type="dxa"/>
          </w:tcPr>
          <w:p w14:paraId="4B9809E7" w14:textId="77777777" w:rsidR="001F22D0" w:rsidRDefault="006B3B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Odporność na uderzenia dla całej oprawy: IK09</w:t>
            </w:r>
          </w:p>
        </w:tc>
        <w:tc>
          <w:tcPr>
            <w:tcW w:w="1834" w:type="dxa"/>
          </w:tcPr>
          <w:p w14:paraId="22C0B27E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558C61DD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Karta techniczna oprawy, certyfikat ENEC,</w:t>
            </w:r>
          </w:p>
        </w:tc>
      </w:tr>
      <w:tr w:rsidR="001F22D0" w14:paraId="5228D0A3" w14:textId="77777777">
        <w:trPr>
          <w:trHeight w:val="300"/>
        </w:trPr>
        <w:tc>
          <w:tcPr>
            <w:tcW w:w="682" w:type="dxa"/>
          </w:tcPr>
          <w:p w14:paraId="7F778F9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100" w:type="dxa"/>
          </w:tcPr>
          <w:p w14:paraId="28CD3588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Klosz zamykając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y oprawę wykonany ze szkła hartowanego</w:t>
            </w:r>
          </w:p>
        </w:tc>
        <w:tc>
          <w:tcPr>
            <w:tcW w:w="1834" w:type="dxa"/>
          </w:tcPr>
          <w:p w14:paraId="638B5E9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74B801C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340CA1B1" w14:textId="77777777">
        <w:trPr>
          <w:trHeight w:val="300"/>
        </w:trPr>
        <w:tc>
          <w:tcPr>
            <w:tcW w:w="682" w:type="dxa"/>
          </w:tcPr>
          <w:p w14:paraId="02D8D09D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100" w:type="dxa"/>
          </w:tcPr>
          <w:p w14:paraId="52C7D0E1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Bezpieczeństwo fotobiologiczne: Oprawy powinny spełniać normę o bezpieczeństwie fotobiologicznym</w:t>
            </w:r>
          </w:p>
        </w:tc>
        <w:tc>
          <w:tcPr>
            <w:tcW w:w="1834" w:type="dxa"/>
          </w:tcPr>
          <w:p w14:paraId="56A52A4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1953847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50DAB294" w14:textId="77777777">
        <w:trPr>
          <w:trHeight w:val="300"/>
        </w:trPr>
        <w:tc>
          <w:tcPr>
            <w:tcW w:w="682" w:type="dxa"/>
          </w:tcPr>
          <w:p w14:paraId="63A3D77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100" w:type="dxa"/>
          </w:tcPr>
          <w:p w14:paraId="1F8D0995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Elementy mocujące oprawę na słupie, wysięgniku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(śruby, podkładki) wykonane ze stali nierdzewnej. Celem zapewnienia stabilnego mocowania przez cały okres eksploatacji oraz Raport z testów wibracyjnych oprawy zgodnie z normą PN-EN 60068-2-6:2008 – zakres: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* częstotliwość 8-57Hz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* amplituda 0,35mm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* szyb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kość przemiatania 1oct / min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* kierunki wymuszenia Z, Y, X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* czas trwania testu 35 min/oś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 wydany przez akredytowane laboratorium dla każdego korpusu oprawy</w:t>
            </w:r>
          </w:p>
        </w:tc>
        <w:tc>
          <w:tcPr>
            <w:tcW w:w="1834" w:type="dxa"/>
          </w:tcPr>
          <w:p w14:paraId="00B55274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4728DDE5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5D5650D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6924DE8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5C3A13D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D0D607A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53AEE74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 oraz Raport zgodny z norma PN-EN 60068-2-6:2008 wydany przez a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kredytowaną jednostkę</w:t>
            </w:r>
          </w:p>
        </w:tc>
      </w:tr>
      <w:tr w:rsidR="001F22D0" w14:paraId="37998F85" w14:textId="77777777">
        <w:trPr>
          <w:trHeight w:val="300"/>
        </w:trPr>
        <w:tc>
          <w:tcPr>
            <w:tcW w:w="682" w:type="dxa"/>
          </w:tcPr>
          <w:p w14:paraId="7101BAD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100" w:type="dxa"/>
          </w:tcPr>
          <w:p w14:paraId="6A68E912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Oprawa wyposażona w układ wyrównywania ciśnienia wewnątrz oprawy</w:t>
            </w:r>
          </w:p>
        </w:tc>
        <w:tc>
          <w:tcPr>
            <w:tcW w:w="1834" w:type="dxa"/>
          </w:tcPr>
          <w:p w14:paraId="55C24F3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1A65347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Karta techniczna oprawy</w:t>
            </w:r>
          </w:p>
        </w:tc>
      </w:tr>
      <w:tr w:rsidR="001F22D0" w14:paraId="3BFA00C2" w14:textId="77777777">
        <w:trPr>
          <w:trHeight w:val="300"/>
        </w:trPr>
        <w:tc>
          <w:tcPr>
            <w:tcW w:w="682" w:type="dxa"/>
          </w:tcPr>
          <w:p w14:paraId="1923AB3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100" w:type="dxa"/>
          </w:tcPr>
          <w:p w14:paraId="086B7AC1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Certyfikat: ENEC, ENEC +, ZD4i, RoHS, CE</w:t>
            </w:r>
          </w:p>
        </w:tc>
        <w:tc>
          <w:tcPr>
            <w:tcW w:w="1834" w:type="dxa"/>
          </w:tcPr>
          <w:p w14:paraId="1E50EC9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2190683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Certyfikat ENEC, ENEC +, ZD4i, RoHS, CE</w:t>
            </w:r>
          </w:p>
        </w:tc>
      </w:tr>
      <w:tr w:rsidR="001F22D0" w14:paraId="283F223C" w14:textId="77777777">
        <w:trPr>
          <w:trHeight w:val="300"/>
        </w:trPr>
        <w:tc>
          <w:tcPr>
            <w:tcW w:w="682" w:type="dxa"/>
          </w:tcPr>
          <w:p w14:paraId="00FBEDF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100" w:type="dxa"/>
          </w:tcPr>
          <w:p w14:paraId="5BE4EE40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Oprawa powinna posiadać min. 2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kompatybilne do zamiennego stosowania układy zasilania pochodzące od różnych producentów</w:t>
            </w:r>
          </w:p>
        </w:tc>
        <w:tc>
          <w:tcPr>
            <w:tcW w:w="1834" w:type="dxa"/>
          </w:tcPr>
          <w:p w14:paraId="7894FF1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3216" w:type="dxa"/>
          </w:tcPr>
          <w:p w14:paraId="070A111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Certyfikat ENEC </w:t>
            </w:r>
            <w:r>
              <w:rPr>
                <w:rFonts w:ascii="Times New Roman" w:eastAsia="Calibri" w:hAnsi="Times New Roman"/>
                <w:color w:val="000000"/>
              </w:rPr>
              <w:t>(pozycja powinna występować na liście komponentów będąca załącznikiem do certyfikatu )</w:t>
            </w:r>
          </w:p>
        </w:tc>
      </w:tr>
      <w:tr w:rsidR="001F22D0" w14:paraId="332F188E" w14:textId="77777777">
        <w:trPr>
          <w:trHeight w:val="300"/>
        </w:trPr>
        <w:tc>
          <w:tcPr>
            <w:tcW w:w="682" w:type="dxa"/>
            <w:tcBorders>
              <w:top w:val="nil"/>
            </w:tcBorders>
          </w:tcPr>
          <w:p w14:paraId="19112114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</w:rPr>
              <w:t>24.</w:t>
            </w:r>
          </w:p>
        </w:tc>
        <w:tc>
          <w:tcPr>
            <w:tcW w:w="5100" w:type="dxa"/>
            <w:tcBorders>
              <w:top w:val="nil"/>
            </w:tcBorders>
          </w:tcPr>
          <w:p w14:paraId="412EC878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/>
              </w:rPr>
              <w:t xml:space="preserve"> Ochrona przed przepięciami elektrostatycznymi (ESD</w:t>
            </w:r>
            <w:r>
              <w:rPr>
                <w:rFonts w:ascii="Times New Roman" w:eastAsia="Calibri" w:hAnsi="Times New Roman"/>
              </w:rPr>
              <w:t xml:space="preserve">): oprawa musi posiadać dodatkowe rozwiązanie chroniące przed wyładowaniami elektrostatycznymi, które umożliwi odprowadzenie nadmiaru ładunków elektrostatycznych gromadzących się na korpusie </w:t>
            </w:r>
            <w:r>
              <w:rPr>
                <w:rFonts w:ascii="Times New Roman" w:eastAsia="Calibri" w:hAnsi="Times New Roman"/>
              </w:rPr>
              <w:lastRenderedPageBreak/>
              <w:t>oprawy.</w:t>
            </w:r>
          </w:p>
          <w:p w14:paraId="3ACD7305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/>
              </w:rPr>
              <w:t>Ochrona powinna być realizowana przez dedykowane urządzen</w:t>
            </w:r>
            <w:r>
              <w:rPr>
                <w:rFonts w:ascii="Times New Roman" w:eastAsia="Calibri" w:hAnsi="Times New Roman"/>
              </w:rPr>
              <w:t>ie ESD.</w:t>
            </w:r>
          </w:p>
          <w:p w14:paraId="76C24EF8" w14:textId="77777777" w:rsidR="001F22D0" w:rsidRDefault="001F22D0">
            <w:pPr>
              <w:tabs>
                <w:tab w:val="left" w:pos="1140"/>
              </w:tabs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175C7D3A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/>
              </w:rPr>
              <w:t>Dopuszczenie: dopuszcza się zastosowanie jednego urządzenia, które zapewnia jednocześnie ochronę SPD i ESD.</w:t>
            </w:r>
          </w:p>
        </w:tc>
        <w:tc>
          <w:tcPr>
            <w:tcW w:w="1834" w:type="dxa"/>
            <w:tcBorders>
              <w:top w:val="nil"/>
            </w:tcBorders>
          </w:tcPr>
          <w:p w14:paraId="523CDAB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</w:rPr>
              <w:lastRenderedPageBreak/>
              <w:t>TAK/NIE</w:t>
            </w:r>
          </w:p>
        </w:tc>
        <w:tc>
          <w:tcPr>
            <w:tcW w:w="3216" w:type="dxa"/>
            <w:tcBorders>
              <w:top w:val="nil"/>
            </w:tcBorders>
          </w:tcPr>
          <w:p w14:paraId="03A02EC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</w:rPr>
              <w:t>Karta techniczna oprawy, certyfikat ENEC (pozycja powinna występować na liście komponentów będąca załącznikiem do certyfikatu)</w:t>
            </w:r>
          </w:p>
        </w:tc>
      </w:tr>
      <w:tr w:rsidR="001F22D0" w14:paraId="2922205C" w14:textId="77777777">
        <w:trPr>
          <w:trHeight w:val="300"/>
        </w:trPr>
        <w:tc>
          <w:tcPr>
            <w:tcW w:w="682" w:type="dxa"/>
            <w:tcBorders>
              <w:top w:val="nil"/>
            </w:tcBorders>
          </w:tcPr>
          <w:p w14:paraId="30CDC30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</w:rPr>
              <w:lastRenderedPageBreak/>
              <w:t>25.</w:t>
            </w:r>
          </w:p>
        </w:tc>
        <w:tc>
          <w:tcPr>
            <w:tcW w:w="5100" w:type="dxa"/>
            <w:tcBorders>
              <w:top w:val="nil"/>
            </w:tcBorders>
          </w:tcPr>
          <w:p w14:paraId="60BF82F0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/>
              </w:rPr>
              <w:t>Oprawa jest fabrycznie wyposażona w przewód przyłączeniowy 2×1,5 mm² o długości dostosowanej do miejsca montażu.</w:t>
            </w:r>
          </w:p>
        </w:tc>
        <w:tc>
          <w:tcPr>
            <w:tcW w:w="1834" w:type="dxa"/>
            <w:tcBorders>
              <w:top w:val="nil"/>
            </w:tcBorders>
          </w:tcPr>
          <w:p w14:paraId="2E0F0F2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TAK/NIE</w:t>
            </w:r>
          </w:p>
        </w:tc>
        <w:tc>
          <w:tcPr>
            <w:tcW w:w="3216" w:type="dxa"/>
            <w:tcBorders>
              <w:top w:val="nil"/>
            </w:tcBorders>
          </w:tcPr>
          <w:p w14:paraId="12C4F61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Karta techniczna oprawy, certyfikat ENEC (pozycja powinna występować na liście komponentów będąca załącznikiem do certyfikatu)</w:t>
            </w:r>
          </w:p>
        </w:tc>
      </w:tr>
    </w:tbl>
    <w:p w14:paraId="1D4025E4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A65B5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CAE56" w14:textId="77777777" w:rsidR="001F22D0" w:rsidRDefault="006B3BC4">
      <w:pPr>
        <w:spacing w:after="0" w:line="276" w:lineRule="auto"/>
      </w:pPr>
      <w:r>
        <w:rPr>
          <w:rFonts w:ascii="Times New Roman" w:hAnsi="Times New Roman" w:cs="Times New Roman"/>
          <w:sz w:val="24"/>
          <w:szCs w:val="24"/>
        </w:rPr>
        <w:t>*zam</w:t>
      </w:r>
      <w:r>
        <w:rPr>
          <w:rFonts w:ascii="Times New Roman" w:hAnsi="Times New Roman" w:cs="Times New Roman"/>
          <w:sz w:val="24"/>
          <w:szCs w:val="24"/>
        </w:rPr>
        <w:t>awiający zastrzega możliwość wezwania Wykonawcy do przedłożenia próbki wybranej oprawy na etapie oceny ofert.</w:t>
      </w:r>
    </w:p>
    <w:p w14:paraId="2459146D" w14:textId="77777777" w:rsidR="001F22D0" w:rsidRDefault="001F22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7164C1" w14:textId="77777777" w:rsidR="001F22D0" w:rsidRDefault="006B3B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0132FAB6" w14:textId="77777777" w:rsidR="001F22D0" w:rsidRPr="00FB7367" w:rsidRDefault="006B3BC4">
      <w:pPr>
        <w:numPr>
          <w:ilvl w:val="0"/>
          <w:numId w:val="2"/>
        </w:numPr>
        <w:spacing w:after="0" w:line="276" w:lineRule="auto"/>
        <w:rPr>
          <w:u w:val="single"/>
        </w:rPr>
      </w:pPr>
      <w:r>
        <w:rPr>
          <w:rFonts w:ascii="Times New Roman" w:hAnsi="Times New Roman" w:cstheme="minorHAnsi"/>
          <w:b/>
          <w:bCs/>
          <w:sz w:val="24"/>
          <w:szCs w:val="24"/>
        </w:rPr>
        <w:lastRenderedPageBreak/>
        <w:t xml:space="preserve">Minimalne wymagania techniczne sterowników szaf oświetleniowych  - </w:t>
      </w:r>
      <w:r w:rsidRPr="00FB7367">
        <w:rPr>
          <w:rFonts w:ascii="Times New Roman" w:hAnsi="Times New Roman" w:cs="Times New Roman"/>
          <w:b/>
          <w:bCs/>
          <w:sz w:val="24"/>
          <w:szCs w:val="24"/>
          <w:u w:val="single"/>
        </w:rPr>
        <w:t>parametry potwierdzane kartą katalogowa</w:t>
      </w:r>
    </w:p>
    <w:p w14:paraId="1BC8CD3E" w14:textId="77777777" w:rsidR="001F22D0" w:rsidRDefault="001F22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493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671"/>
        <w:gridCol w:w="3152"/>
        <w:gridCol w:w="3827"/>
        <w:gridCol w:w="1843"/>
      </w:tblGrid>
      <w:tr w:rsidR="00FB7367" w14:paraId="4937B9A1" w14:textId="798EED62" w:rsidTr="00FB7367">
        <w:trPr>
          <w:trHeight w:val="93"/>
        </w:trPr>
        <w:tc>
          <w:tcPr>
            <w:tcW w:w="671" w:type="dxa"/>
          </w:tcPr>
          <w:p w14:paraId="0176950D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</w:rPr>
              <w:t>Lp.</w:t>
            </w:r>
          </w:p>
        </w:tc>
        <w:tc>
          <w:tcPr>
            <w:tcW w:w="3152" w:type="dxa"/>
          </w:tcPr>
          <w:p w14:paraId="3D40C450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</w:rPr>
              <w:t>Dane techniczne</w:t>
            </w:r>
          </w:p>
        </w:tc>
        <w:tc>
          <w:tcPr>
            <w:tcW w:w="3827" w:type="dxa"/>
          </w:tcPr>
          <w:p w14:paraId="78B8162D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</w:rPr>
              <w:t>Parametr wymagany</w:t>
            </w:r>
          </w:p>
        </w:tc>
        <w:tc>
          <w:tcPr>
            <w:tcW w:w="1843" w:type="dxa"/>
          </w:tcPr>
          <w:p w14:paraId="03B3D634" w14:textId="77777777" w:rsidR="00FB7367" w:rsidRDefault="00FB7367" w:rsidP="00FB7367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Oferowane parametry zaznaczyć</w:t>
            </w:r>
          </w:p>
          <w:p w14:paraId="252D4596" w14:textId="77777777" w:rsidR="00FB7367" w:rsidRDefault="00FB7367" w:rsidP="00FB7367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spełnia – TAK,</w:t>
            </w:r>
          </w:p>
          <w:p w14:paraId="54D343EA" w14:textId="77777777" w:rsidR="00FB7367" w:rsidRDefault="00FB7367" w:rsidP="00FB7367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nie spełnia – NIE</w:t>
            </w:r>
          </w:p>
          <w:p w14:paraId="7B35C2F5" w14:textId="77777777" w:rsidR="00FB7367" w:rsidRDefault="00FB7367">
            <w:pPr>
              <w:spacing w:after="100"/>
              <w:rPr>
                <w:rFonts w:ascii="Times New Roman" w:eastAsia="Calibri" w:hAnsi="Times New Roman" w:cstheme="minorHAnsi"/>
                <w:b/>
                <w:bCs/>
                <w:kern w:val="2"/>
              </w:rPr>
            </w:pPr>
          </w:p>
        </w:tc>
      </w:tr>
      <w:tr w:rsidR="00FB7367" w14:paraId="6156E929" w14:textId="588522AB" w:rsidTr="00FB7367">
        <w:trPr>
          <w:trHeight w:val="208"/>
        </w:trPr>
        <w:tc>
          <w:tcPr>
            <w:tcW w:w="671" w:type="dxa"/>
          </w:tcPr>
          <w:p w14:paraId="79D923EF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1.</w:t>
            </w:r>
          </w:p>
        </w:tc>
        <w:tc>
          <w:tcPr>
            <w:tcW w:w="3152" w:type="dxa"/>
          </w:tcPr>
          <w:p w14:paraId="1A448ED9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Sposób montażu sterowników</w:t>
            </w:r>
          </w:p>
        </w:tc>
        <w:tc>
          <w:tcPr>
            <w:tcW w:w="3827" w:type="dxa"/>
          </w:tcPr>
          <w:p w14:paraId="5328DA98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Sterowniki dopuszcza montować się wewnątrz szafy oświetleniowej.</w:t>
            </w:r>
          </w:p>
        </w:tc>
        <w:tc>
          <w:tcPr>
            <w:tcW w:w="1843" w:type="dxa"/>
          </w:tcPr>
          <w:p w14:paraId="068FE918" w14:textId="265D6261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6EC5774A" w14:textId="59EDF191" w:rsidTr="00FB7367">
        <w:trPr>
          <w:trHeight w:val="559"/>
        </w:trPr>
        <w:tc>
          <w:tcPr>
            <w:tcW w:w="671" w:type="dxa"/>
          </w:tcPr>
          <w:p w14:paraId="5E3BB1F8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2.</w:t>
            </w:r>
          </w:p>
        </w:tc>
        <w:tc>
          <w:tcPr>
            <w:tcW w:w="3152" w:type="dxa"/>
          </w:tcPr>
          <w:p w14:paraId="33275C66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Minimalna funkcjonalność</w:t>
            </w:r>
          </w:p>
        </w:tc>
        <w:tc>
          <w:tcPr>
            <w:tcW w:w="3827" w:type="dxa"/>
          </w:tcPr>
          <w:p w14:paraId="08107EB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Załączanie/wyłączanie co najmniej dwóch niezależnych sterowanych obwodów oświetleniowych</w:t>
            </w:r>
          </w:p>
          <w:p w14:paraId="7BD9D4CB" w14:textId="77777777" w:rsidR="00FB7367" w:rsidRDefault="00FB7367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Aktualizacja firmware sterowników z wykorzystaniem bezprzewodowej technologii FUOTA</w:t>
            </w:r>
          </w:p>
        </w:tc>
        <w:tc>
          <w:tcPr>
            <w:tcW w:w="1843" w:type="dxa"/>
          </w:tcPr>
          <w:p w14:paraId="18593C31" w14:textId="6793E3D3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3A94A557" w14:textId="3266E896" w:rsidTr="00FB7367">
        <w:trPr>
          <w:trHeight w:val="208"/>
        </w:trPr>
        <w:tc>
          <w:tcPr>
            <w:tcW w:w="671" w:type="dxa"/>
          </w:tcPr>
          <w:p w14:paraId="287E425A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3.</w:t>
            </w:r>
          </w:p>
        </w:tc>
        <w:tc>
          <w:tcPr>
            <w:tcW w:w="3152" w:type="dxa"/>
          </w:tcPr>
          <w:p w14:paraId="0EC442E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Zakres temperatur pracy elementów systemu</w:t>
            </w:r>
          </w:p>
        </w:tc>
        <w:tc>
          <w:tcPr>
            <w:tcW w:w="3827" w:type="dxa"/>
          </w:tcPr>
          <w:p w14:paraId="1A4740FB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Min: -30°C do +60°C</w:t>
            </w:r>
          </w:p>
        </w:tc>
        <w:tc>
          <w:tcPr>
            <w:tcW w:w="1843" w:type="dxa"/>
          </w:tcPr>
          <w:p w14:paraId="30F59297" w14:textId="2F980586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20DD7963" w14:textId="58058B5D" w:rsidTr="00FB7367">
        <w:trPr>
          <w:trHeight w:val="207"/>
        </w:trPr>
        <w:tc>
          <w:tcPr>
            <w:tcW w:w="671" w:type="dxa"/>
          </w:tcPr>
          <w:p w14:paraId="7397D15F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4.</w:t>
            </w:r>
          </w:p>
        </w:tc>
        <w:tc>
          <w:tcPr>
            <w:tcW w:w="3152" w:type="dxa"/>
          </w:tcPr>
          <w:p w14:paraId="22481064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Pobór mocy przez sterownik</w:t>
            </w:r>
          </w:p>
        </w:tc>
        <w:tc>
          <w:tcPr>
            <w:tcW w:w="3827" w:type="dxa"/>
          </w:tcPr>
          <w:p w14:paraId="41A98EF1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Max 3W</w:t>
            </w:r>
          </w:p>
        </w:tc>
        <w:tc>
          <w:tcPr>
            <w:tcW w:w="1843" w:type="dxa"/>
          </w:tcPr>
          <w:p w14:paraId="67C046D3" w14:textId="7618A06C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6DDD198E" w14:textId="5669F6E6" w:rsidTr="00FB7367">
        <w:trPr>
          <w:trHeight w:val="93"/>
        </w:trPr>
        <w:tc>
          <w:tcPr>
            <w:tcW w:w="671" w:type="dxa"/>
          </w:tcPr>
          <w:p w14:paraId="6B86898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5.</w:t>
            </w:r>
          </w:p>
        </w:tc>
        <w:tc>
          <w:tcPr>
            <w:tcW w:w="3152" w:type="dxa"/>
          </w:tcPr>
          <w:p w14:paraId="2356F396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Nominalne napięcie zasilania</w:t>
            </w:r>
          </w:p>
        </w:tc>
        <w:tc>
          <w:tcPr>
            <w:tcW w:w="3827" w:type="dxa"/>
          </w:tcPr>
          <w:p w14:paraId="59CB7890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230V AC</w:t>
            </w:r>
          </w:p>
        </w:tc>
        <w:tc>
          <w:tcPr>
            <w:tcW w:w="1843" w:type="dxa"/>
          </w:tcPr>
          <w:p w14:paraId="3A31C520" w14:textId="29CF38A9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62A053FF" w14:textId="226421DC" w:rsidTr="00FB7367">
        <w:trPr>
          <w:trHeight w:val="208"/>
        </w:trPr>
        <w:tc>
          <w:tcPr>
            <w:tcW w:w="671" w:type="dxa"/>
          </w:tcPr>
          <w:p w14:paraId="562A5658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6.</w:t>
            </w:r>
          </w:p>
        </w:tc>
        <w:tc>
          <w:tcPr>
            <w:tcW w:w="3152" w:type="dxa"/>
          </w:tcPr>
          <w:p w14:paraId="313F4E41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Prąd załączania i obciążenia sterownika</w:t>
            </w:r>
          </w:p>
        </w:tc>
        <w:tc>
          <w:tcPr>
            <w:tcW w:w="3827" w:type="dxa"/>
          </w:tcPr>
          <w:p w14:paraId="64A9D6BF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Min. 6A</w:t>
            </w:r>
          </w:p>
        </w:tc>
        <w:tc>
          <w:tcPr>
            <w:tcW w:w="1843" w:type="dxa"/>
          </w:tcPr>
          <w:p w14:paraId="7673C877" w14:textId="0DBD74C1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00DCC8BF" w14:textId="52DE6B60" w:rsidTr="00FB7367">
        <w:trPr>
          <w:trHeight w:val="437"/>
        </w:trPr>
        <w:tc>
          <w:tcPr>
            <w:tcW w:w="671" w:type="dxa"/>
          </w:tcPr>
          <w:p w14:paraId="3BC34C15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7.</w:t>
            </w:r>
          </w:p>
        </w:tc>
        <w:tc>
          <w:tcPr>
            <w:tcW w:w="3152" w:type="dxa"/>
          </w:tcPr>
          <w:p w14:paraId="4E4A916D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Materiały</w:t>
            </w:r>
          </w:p>
        </w:tc>
        <w:tc>
          <w:tcPr>
            <w:tcW w:w="3827" w:type="dxa"/>
          </w:tcPr>
          <w:p w14:paraId="1DB9ED99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Sterownik systemu musi być bezobsługowy, nie może być wyposażony w elementy podlegające okresowym wymianom takie jak baterie, akumulatory, uszczelki o ograniczonej trwałości.</w:t>
            </w:r>
          </w:p>
        </w:tc>
        <w:tc>
          <w:tcPr>
            <w:tcW w:w="1843" w:type="dxa"/>
          </w:tcPr>
          <w:p w14:paraId="39CA1C50" w14:textId="3834BCEC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69A25E6A" w14:textId="19AD0C1F" w:rsidTr="00FB7367">
        <w:trPr>
          <w:trHeight w:val="208"/>
        </w:trPr>
        <w:tc>
          <w:tcPr>
            <w:tcW w:w="671" w:type="dxa"/>
          </w:tcPr>
          <w:p w14:paraId="310E09C6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8.</w:t>
            </w:r>
          </w:p>
        </w:tc>
        <w:tc>
          <w:tcPr>
            <w:tcW w:w="3152" w:type="dxa"/>
          </w:tcPr>
          <w:p w14:paraId="0299C83A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Ochrona przeciw przepięciowa</w:t>
            </w:r>
          </w:p>
        </w:tc>
        <w:tc>
          <w:tcPr>
            <w:tcW w:w="3827" w:type="dxa"/>
          </w:tcPr>
          <w:p w14:paraId="60A30923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Min. 2 kV wg Normy IEC 61000-4-5</w:t>
            </w:r>
          </w:p>
        </w:tc>
        <w:tc>
          <w:tcPr>
            <w:tcW w:w="1843" w:type="dxa"/>
          </w:tcPr>
          <w:p w14:paraId="1EB6B9AF" w14:textId="5A407509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795E8484" w14:textId="62FE3FCB" w:rsidTr="00FB7367">
        <w:trPr>
          <w:trHeight w:val="208"/>
        </w:trPr>
        <w:tc>
          <w:tcPr>
            <w:tcW w:w="671" w:type="dxa"/>
          </w:tcPr>
          <w:p w14:paraId="150D07BD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9.</w:t>
            </w:r>
          </w:p>
        </w:tc>
        <w:tc>
          <w:tcPr>
            <w:tcW w:w="3152" w:type="dxa"/>
          </w:tcPr>
          <w:p w14:paraId="2FEEA179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Klasa szczelności</w:t>
            </w:r>
          </w:p>
        </w:tc>
        <w:tc>
          <w:tcPr>
            <w:tcW w:w="3827" w:type="dxa"/>
          </w:tcPr>
          <w:p w14:paraId="70B56131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IP20</w:t>
            </w:r>
          </w:p>
        </w:tc>
        <w:tc>
          <w:tcPr>
            <w:tcW w:w="1843" w:type="dxa"/>
          </w:tcPr>
          <w:p w14:paraId="4EE24B0D" w14:textId="75D6C929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3C79006E" w14:textId="5A6618AC" w:rsidTr="00FB7367">
        <w:trPr>
          <w:trHeight w:val="93"/>
        </w:trPr>
        <w:tc>
          <w:tcPr>
            <w:tcW w:w="671" w:type="dxa"/>
          </w:tcPr>
          <w:p w14:paraId="3A0EB590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10.</w:t>
            </w:r>
          </w:p>
        </w:tc>
        <w:tc>
          <w:tcPr>
            <w:tcW w:w="3152" w:type="dxa"/>
          </w:tcPr>
          <w:p w14:paraId="615827A8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Zarządzanie</w:t>
            </w:r>
          </w:p>
        </w:tc>
        <w:tc>
          <w:tcPr>
            <w:tcW w:w="3827" w:type="dxa"/>
          </w:tcPr>
          <w:p w14:paraId="0DF649C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Pełna zgodność systemu sterowania</w:t>
            </w:r>
          </w:p>
        </w:tc>
        <w:tc>
          <w:tcPr>
            <w:tcW w:w="1843" w:type="dxa"/>
          </w:tcPr>
          <w:p w14:paraId="19CD6E5B" w14:textId="4BF02381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52E7439C" w14:textId="790F53CD" w:rsidTr="00FB7367">
        <w:trPr>
          <w:trHeight w:val="93"/>
        </w:trPr>
        <w:tc>
          <w:tcPr>
            <w:tcW w:w="671" w:type="dxa"/>
          </w:tcPr>
          <w:p w14:paraId="09124B1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11.</w:t>
            </w:r>
          </w:p>
        </w:tc>
        <w:tc>
          <w:tcPr>
            <w:tcW w:w="3152" w:type="dxa"/>
          </w:tcPr>
          <w:p w14:paraId="1DD75DA4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Protokół komunikacyjny</w:t>
            </w:r>
          </w:p>
        </w:tc>
        <w:tc>
          <w:tcPr>
            <w:tcW w:w="3827" w:type="dxa"/>
          </w:tcPr>
          <w:p w14:paraId="6A301D77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LoRaWAN 1.1 class C</w:t>
            </w:r>
          </w:p>
        </w:tc>
        <w:tc>
          <w:tcPr>
            <w:tcW w:w="1843" w:type="dxa"/>
          </w:tcPr>
          <w:p w14:paraId="5C0EC8E5" w14:textId="568EDE35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FB7367" w14:paraId="26585543" w14:textId="3E3DE8E9" w:rsidTr="00FB7367">
        <w:trPr>
          <w:trHeight w:val="93"/>
        </w:trPr>
        <w:tc>
          <w:tcPr>
            <w:tcW w:w="671" w:type="dxa"/>
            <w:tcBorders>
              <w:top w:val="nil"/>
            </w:tcBorders>
          </w:tcPr>
          <w:p w14:paraId="0D19884C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12.</w:t>
            </w:r>
          </w:p>
        </w:tc>
        <w:tc>
          <w:tcPr>
            <w:tcW w:w="3152" w:type="dxa"/>
            <w:tcBorders>
              <w:top w:val="nil"/>
            </w:tcBorders>
          </w:tcPr>
          <w:p w14:paraId="278E902C" w14:textId="77777777" w:rsidR="00FB7367" w:rsidRDefault="00FB7367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Opcje dodatkowe</w:t>
            </w:r>
          </w:p>
        </w:tc>
        <w:tc>
          <w:tcPr>
            <w:tcW w:w="3827" w:type="dxa"/>
            <w:tcBorders>
              <w:top w:val="nil"/>
            </w:tcBorders>
          </w:tcPr>
          <w:p w14:paraId="233DA32E" w14:textId="77777777" w:rsidR="00FB7367" w:rsidRDefault="00FB7367">
            <w:pPr>
              <w:numPr>
                <w:ilvl w:val="0"/>
                <w:numId w:val="5"/>
              </w:num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 xml:space="preserve">Interfejs RS485 lub Modbus RTU do integracji z analizatorami parametrów elektrycznych w szczególności z </w:t>
            </w:r>
            <w:r>
              <w:rPr>
                <w:rFonts w:ascii="Times New Roman" w:eastAsia="Calibri" w:hAnsi="Times New Roman" w:cstheme="minorHAnsi"/>
                <w:kern w:val="2"/>
              </w:rPr>
              <w:lastRenderedPageBreak/>
              <w:t>analizatorami energii biernej</w:t>
            </w:r>
          </w:p>
          <w:p w14:paraId="0EA9E239" w14:textId="77777777" w:rsidR="00FB7367" w:rsidRDefault="00FB7367">
            <w:pPr>
              <w:numPr>
                <w:ilvl w:val="0"/>
                <w:numId w:val="5"/>
              </w:num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Wejscie cyfrowe do integracji z czujnikiem otwarcia szafy - otwarcie drzwi szafy tworzy alarm  w systemie sterowania</w:t>
            </w:r>
          </w:p>
        </w:tc>
        <w:tc>
          <w:tcPr>
            <w:tcW w:w="1843" w:type="dxa"/>
            <w:tcBorders>
              <w:top w:val="nil"/>
            </w:tcBorders>
          </w:tcPr>
          <w:p w14:paraId="681D05D0" w14:textId="5AAA2EEB" w:rsidR="00FB7367" w:rsidRDefault="00FB7367" w:rsidP="00FB7367">
            <w:pPr>
              <w:spacing w:after="100"/>
              <w:jc w:val="center"/>
              <w:rPr>
                <w:rFonts w:ascii="Times New Roman" w:eastAsia="Calibri" w:hAnsi="Times New Roman" w:cstheme="minorHAnsi"/>
                <w:kern w:val="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TAK/NIE</w:t>
            </w:r>
          </w:p>
        </w:tc>
      </w:tr>
    </w:tbl>
    <w:p w14:paraId="25CBB9CB" w14:textId="32B7999B" w:rsidR="001F22D0" w:rsidRDefault="001F22D0">
      <w:pPr>
        <w:spacing w:before="280" w:after="100"/>
        <w:rPr>
          <w:rFonts w:ascii="Times New Roman" w:hAnsi="Times New Roman" w:cstheme="minorHAnsi"/>
          <w:b/>
          <w:bCs/>
        </w:rPr>
      </w:pPr>
    </w:p>
    <w:p w14:paraId="13A35B0B" w14:textId="77777777" w:rsidR="001F22D0" w:rsidRDefault="006B3BC4">
      <w:pPr>
        <w:pStyle w:val="Akapitzlist"/>
        <w:numPr>
          <w:ilvl w:val="0"/>
          <w:numId w:val="2"/>
        </w:numPr>
        <w:spacing w:after="0" w:line="276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Minimalne wymagania techniczne dla projektowanego systemu sterowania infrastrukturą oświetleniową – </w:t>
      </w:r>
      <w:r w:rsidRPr="00FB7367">
        <w:rPr>
          <w:rFonts w:ascii="Times New Roman" w:hAnsi="Times New Roman" w:cs="Times New Roman"/>
          <w:b/>
          <w:bCs/>
          <w:sz w:val="24"/>
          <w:szCs w:val="24"/>
          <w:u w:val="single"/>
        </w:rPr>
        <w:t>parametry potwierdzane kartą katalogowa systemu sterowania</w:t>
      </w:r>
    </w:p>
    <w:tbl>
      <w:tblPr>
        <w:tblStyle w:val="Tabela-Siatka"/>
        <w:tblW w:w="10940" w:type="dxa"/>
        <w:tblInd w:w="-1009" w:type="dxa"/>
        <w:tblLayout w:type="fixed"/>
        <w:tblLook w:val="0000" w:firstRow="0" w:lastRow="0" w:firstColumn="0" w:lastColumn="0" w:noHBand="0" w:noVBand="0"/>
      </w:tblPr>
      <w:tblGrid>
        <w:gridCol w:w="445"/>
        <w:gridCol w:w="1980"/>
        <w:gridCol w:w="6415"/>
        <w:gridCol w:w="2100"/>
      </w:tblGrid>
      <w:tr w:rsidR="001F22D0" w14:paraId="4CB2755C" w14:textId="77777777">
        <w:trPr>
          <w:trHeight w:val="322"/>
        </w:trPr>
        <w:tc>
          <w:tcPr>
            <w:tcW w:w="445" w:type="dxa"/>
          </w:tcPr>
          <w:p w14:paraId="7CE8749B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Lp</w:t>
            </w:r>
          </w:p>
        </w:tc>
        <w:tc>
          <w:tcPr>
            <w:tcW w:w="1980" w:type="dxa"/>
          </w:tcPr>
          <w:p w14:paraId="7CCE66AD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Dane techniczne, funkcjonalność</w:t>
            </w:r>
          </w:p>
        </w:tc>
        <w:tc>
          <w:tcPr>
            <w:tcW w:w="6414" w:type="dxa"/>
            <w:tcBorders>
              <w:right w:val="nil"/>
            </w:tcBorders>
          </w:tcPr>
          <w:p w14:paraId="1545EB2B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Wymagana</w:t>
            </w: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 xml:space="preserve"> wartość parametru</w:t>
            </w:r>
          </w:p>
        </w:tc>
        <w:tc>
          <w:tcPr>
            <w:tcW w:w="2100" w:type="dxa"/>
          </w:tcPr>
          <w:p w14:paraId="365B8EE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Oferowane parametry zaznaczyć</w:t>
            </w:r>
          </w:p>
          <w:p w14:paraId="7185722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spełnia – TAK,</w:t>
            </w:r>
          </w:p>
          <w:p w14:paraId="277849C3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nie spełnia – NIE</w:t>
            </w:r>
          </w:p>
        </w:tc>
      </w:tr>
      <w:tr w:rsidR="001F22D0" w14:paraId="0A13C1B4" w14:textId="77777777">
        <w:trPr>
          <w:trHeight w:val="2508"/>
        </w:trPr>
        <w:tc>
          <w:tcPr>
            <w:tcW w:w="445" w:type="dxa"/>
          </w:tcPr>
          <w:p w14:paraId="754D3B1C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14:paraId="2EE1A892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Komunikacja</w:t>
            </w:r>
          </w:p>
        </w:tc>
        <w:tc>
          <w:tcPr>
            <w:tcW w:w="6414" w:type="dxa"/>
            <w:tcBorders>
              <w:right w:val="nil"/>
            </w:tcBorders>
          </w:tcPr>
          <w:p w14:paraId="220CA535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Otwarty standard komunikacji bezprzewodowej w technologii przesyłu danych typu LoRaWAN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 (lub innej równoważnej, ustandaryzowanej, o tej samej lub lepszej efektywności komunikacji). Komunikacja w paśmie nielicencjonowanym ISM (868MHz), charakteryzującym się niewielkim zużyciem energii i dalekim zasięgiem komunikacji. System z dwukierunkową ko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munikacją bezprzewodową. Komunikacja pomiędzy serwerem a oprawami poprzez bramy w układzie gwiazdowym. Bramy bazowe 16 kanałowe, muszą zapewniać redundancję systemu poprzez nakładanie się zasięgów komunikacji. Komunikacja pomiędzy sterownikami opraw a punk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tami zbiorczymi systemu musi odbywać się zgodnie z normą EN 300 220 lub jej krajowymi odpowiednikami.  Bramy bazowe powinny posiadać co najmniej jeden port Fast Ethernet lub Gigabit Ethernet RJ45. Cała komunikacja pomiędzy sterownikami opraw a głównym serw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erem powinna być szyfrowana co najmniej 128 bitowym kluczem AES.</w:t>
            </w:r>
          </w:p>
          <w:p w14:paraId="5A2AB69F" w14:textId="77777777" w:rsidR="001F22D0" w:rsidRDefault="006B3BC4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Elementy sieciowe systemu oraz ich protokół komunikacyjny muszą mieć możliwość wykorzystania ich w przyszłości jako elementy innego systemu czujników np. zdalnego odczytu wodomierzy, monitori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ngu ruchu drogowego, parkomatów i innych urządzeń inteligentnego miasta/gminy.</w:t>
            </w:r>
          </w:p>
        </w:tc>
        <w:tc>
          <w:tcPr>
            <w:tcW w:w="2100" w:type="dxa"/>
          </w:tcPr>
          <w:p w14:paraId="33ACDFD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5A07FDA2" w14:textId="77777777">
        <w:trPr>
          <w:trHeight w:val="1372"/>
        </w:trPr>
        <w:tc>
          <w:tcPr>
            <w:tcW w:w="445" w:type="dxa"/>
          </w:tcPr>
          <w:p w14:paraId="32FAC945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14:paraId="5A081C5B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Oprogramowanie</w:t>
            </w:r>
          </w:p>
        </w:tc>
        <w:tc>
          <w:tcPr>
            <w:tcW w:w="6414" w:type="dxa"/>
            <w:tcBorders>
              <w:right w:val="nil"/>
            </w:tcBorders>
          </w:tcPr>
          <w:p w14:paraId="0434A30F" w14:textId="77777777" w:rsidR="001F22D0" w:rsidRDefault="006B3BC4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Interfejs użytkownika w języku polskim.</w:t>
            </w:r>
          </w:p>
          <w:p w14:paraId="72601B50" w14:textId="77777777" w:rsidR="001F22D0" w:rsidRDefault="006B3BC4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Dostęp do interfejsu użytkownika - musi być dostępny z komputera, smartfonu, tabletu lub innego urządzenia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wyposażonego w przeglądarkę internetową.</w:t>
            </w:r>
          </w:p>
          <w:p w14:paraId="6C04B3FC" w14:textId="77777777" w:rsidR="001F22D0" w:rsidRDefault="006B3BC4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Dostęp do interfejsu oprogramowania szyfrowanym połączeniem musi być zabezpieczony co najmniej loginem i hasłem.</w:t>
            </w:r>
          </w:p>
        </w:tc>
        <w:tc>
          <w:tcPr>
            <w:tcW w:w="2100" w:type="dxa"/>
          </w:tcPr>
          <w:p w14:paraId="0B79C85B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200D8D22" w14:textId="77777777">
        <w:trPr>
          <w:trHeight w:val="2432"/>
        </w:trPr>
        <w:tc>
          <w:tcPr>
            <w:tcW w:w="445" w:type="dxa"/>
          </w:tcPr>
          <w:p w14:paraId="7F9A20FD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14:paraId="56F094C0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Funkcjonalność</w:t>
            </w:r>
          </w:p>
        </w:tc>
        <w:tc>
          <w:tcPr>
            <w:tcW w:w="6414" w:type="dxa"/>
            <w:tcBorders>
              <w:right w:val="nil"/>
            </w:tcBorders>
          </w:tcPr>
          <w:p w14:paraId="668779EA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System musi być wyposażony co najmniej w następujące funkcjonalności:</w:t>
            </w:r>
          </w:p>
          <w:p w14:paraId="765D02FC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before="280"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grafi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czną geolokalizację opraw na ogólnie dostępnych mapach.</w:t>
            </w:r>
          </w:p>
          <w:p w14:paraId="69487CD9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wizualizację parametrów pracy opraw.</w:t>
            </w:r>
          </w:p>
          <w:p w14:paraId="1CEA820D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Odczyt aktualnych i archiwalnych danych z opraw z całej historii pracy systemu – od dnia uruchomienia systemu.</w:t>
            </w:r>
          </w:p>
          <w:p w14:paraId="6B8BF1CE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Tworzenie wykresów zużycia energii dla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poszczególnych opraw, grup opraw.</w:t>
            </w:r>
          </w:p>
          <w:p w14:paraId="72C857CE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włączanie i wyłączanie pojedynczych opraw oświetleniowych, grup opraw i wszystkich opraw na podstawie: czasu i dni tygodnia</w:t>
            </w:r>
          </w:p>
          <w:p w14:paraId="0ADD704D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regulacja poziomu świecenia pojedynczych opraw oświetleniowych, grup opraw i wszystkich opraw</w:t>
            </w:r>
          </w:p>
          <w:p w14:paraId="6C29F431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iwość zdalnej zmiany konfiguracji w dowolnym momencie</w:t>
            </w:r>
          </w:p>
          <w:p w14:paraId="2089DAD0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ustawienia różnych parametrów świecenia opraw w ciągu tygodnia z rozróżnieniem na dni robocze</w:t>
            </w:r>
          </w:p>
          <w:p w14:paraId="639C1D53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sterowania oprawą w zakresie: włącz/wyłącz, ściemnienie do jednego poziomu w zadanym okr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esie w ciągu doby, ustawienie w ciągu doby do minimum ośmiu poziomów ściemnienia oprawy z możliwością ustalenia godzin działania ustalonych poziomów</w:t>
            </w:r>
          </w:p>
          <w:p w14:paraId="771DE918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dowolnego definiowania grup i przypisywanie do nich poszczególnych opraw</w:t>
            </w:r>
          </w:p>
          <w:p w14:paraId="518425CB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dostęp do historycznych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parametrów pracy systemu z całego okresu pracy systemu</w:t>
            </w:r>
          </w:p>
          <w:p w14:paraId="55AAC220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lastRenderedPageBreak/>
              <w:t>sygnalizowanie uszkodzenia oprawy, zaniku napięcia zasilającego, błędów komunikacji</w:t>
            </w:r>
          </w:p>
          <w:p w14:paraId="12E61640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generowanie raportów zużycia energii oraz raportów błędów i innych raportów z mierzonych parametrów przez system w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okresie całej pracy systemu od uruchomienia</w:t>
            </w:r>
          </w:p>
          <w:p w14:paraId="1FF059D0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dodawanie nowych punktów świetlnych do systemu</w:t>
            </w:r>
          </w:p>
          <w:p w14:paraId="62B23BC1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tworzenie kont użytkowników z różnorodnymi poziomami dostępu z możliwością zmiany w dowolnym momencie</w:t>
            </w:r>
          </w:p>
          <w:p w14:paraId="6AAB47FB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sterowania szafami oświetleniowymi – załączanie i odc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inanie napięcia obwodów oświetleniowych w zadanym okresie w ciągu doby z możliwością ustalenia godzin działania ustalonych stanów</w:t>
            </w:r>
          </w:p>
          <w:p w14:paraId="47F56577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obsługi sterowników działających w technologii dali, analogowych 0-10v,1-10v, oraz sterowników posiadających wyjścia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 przekaźnikowe</w:t>
            </w:r>
          </w:p>
          <w:p w14:paraId="2C4254AF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rFonts w:ascii="Times New Roman" w:hAnsi="Times New Roman"/>
              </w:rPr>
              <w:t>Możliwość tworzenia profili oświetleniowych bazujących na kącie słońca z minimalną rozdzielczością 0.25° oraz profili czasowych z rozdzielczością 1 minuta</w:t>
            </w:r>
          </w:p>
          <w:p w14:paraId="07B777DF" w14:textId="77777777" w:rsidR="001F22D0" w:rsidRDefault="006B3BC4">
            <w:pPr>
              <w:pStyle w:val="Akapitzlist"/>
              <w:numPr>
                <w:ilvl w:val="0"/>
                <w:numId w:val="1"/>
              </w:num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Możliwość późniejszego integrowania innych inteligentnych urządzeń (wodomierzy, liczni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ków energii elektrycznej, monitoringu ruchu drogowego, parkomatów i innych urządzeń inteligentnego miasta/gminy)</w:t>
            </w:r>
          </w:p>
        </w:tc>
        <w:tc>
          <w:tcPr>
            <w:tcW w:w="2100" w:type="dxa"/>
          </w:tcPr>
          <w:p w14:paraId="247E65A1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TAK/NIE</w:t>
            </w:r>
          </w:p>
        </w:tc>
      </w:tr>
      <w:tr w:rsidR="001F22D0" w14:paraId="079CEF19" w14:textId="77777777">
        <w:trPr>
          <w:trHeight w:val="1831"/>
        </w:trPr>
        <w:tc>
          <w:tcPr>
            <w:tcW w:w="445" w:type="dxa"/>
          </w:tcPr>
          <w:p w14:paraId="42EC1B4E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14:paraId="76E063E3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Uniwersalność</w:t>
            </w:r>
          </w:p>
        </w:tc>
        <w:tc>
          <w:tcPr>
            <w:tcW w:w="6414" w:type="dxa"/>
            <w:tcBorders>
              <w:right w:val="nil"/>
            </w:tcBorders>
          </w:tcPr>
          <w:p w14:paraId="1964F287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System musi dopuszczać w praktyce stosowanie opraw różnych producentów. Sieć komunikacji systemu musi być otwarta,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dopuszczać komunikację z sensorami innych producentów niż producent systemu sterowania.</w:t>
            </w:r>
          </w:p>
          <w:p w14:paraId="50B8F0A5" w14:textId="77777777" w:rsidR="001F22D0" w:rsidRDefault="006B3BC4">
            <w:pPr>
              <w:spacing w:before="280"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System powinno dać się rozbudować o inne moduły smart city nie związane tylko z oświetleniem: monitoring wodomierzy, natężenia ruchu pojazdów, zanieczyszczenia powietrz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a itp.</w:t>
            </w:r>
          </w:p>
        </w:tc>
        <w:tc>
          <w:tcPr>
            <w:tcW w:w="2100" w:type="dxa"/>
          </w:tcPr>
          <w:p w14:paraId="61F4CE5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7D227C8D" w14:textId="77777777">
        <w:trPr>
          <w:trHeight w:val="1831"/>
        </w:trPr>
        <w:tc>
          <w:tcPr>
            <w:tcW w:w="445" w:type="dxa"/>
          </w:tcPr>
          <w:p w14:paraId="2A8D3F7D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5.</w:t>
            </w:r>
          </w:p>
        </w:tc>
        <w:tc>
          <w:tcPr>
            <w:tcW w:w="1980" w:type="dxa"/>
          </w:tcPr>
          <w:p w14:paraId="07C97B1A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Interfejs API - interfejs programisty.</w:t>
            </w:r>
          </w:p>
        </w:tc>
        <w:tc>
          <w:tcPr>
            <w:tcW w:w="6414" w:type="dxa"/>
            <w:tcBorders>
              <w:right w:val="nil"/>
            </w:tcBorders>
          </w:tcPr>
          <w:p w14:paraId="57843C02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System musi zapewniać otwarty interfejs API. Otwarty interfejs API musi zapewniać co najmniej dostęp do następujących parametrów systemu sterowania: błędy opraw lub sterowników, parametry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sterownika, status załączenie/wyłączenie, program ściemniania. Interfejs API umożliwiający synchronizację z innym oprogramowaniem umożliwiającą za pomocą tego innego oprogramowania co najmniej zmianę statusu 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lastRenderedPageBreak/>
              <w:t>załączenie/wyłączenia i zmianę poziomu świecenia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 oraz powrót do pracy normalnej.</w:t>
            </w:r>
          </w:p>
        </w:tc>
        <w:tc>
          <w:tcPr>
            <w:tcW w:w="2100" w:type="dxa"/>
          </w:tcPr>
          <w:p w14:paraId="06FEEEF9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TAK/NIE</w:t>
            </w:r>
          </w:p>
        </w:tc>
      </w:tr>
      <w:tr w:rsidR="001F22D0" w14:paraId="008BD133" w14:textId="77777777">
        <w:trPr>
          <w:trHeight w:val="1831"/>
        </w:trPr>
        <w:tc>
          <w:tcPr>
            <w:tcW w:w="445" w:type="dxa"/>
          </w:tcPr>
          <w:p w14:paraId="2F1132F9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0" w:type="dxa"/>
          </w:tcPr>
          <w:p w14:paraId="41DD36C6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Inter-operacyjność</w:t>
            </w:r>
          </w:p>
        </w:tc>
        <w:tc>
          <w:tcPr>
            <w:tcW w:w="6414" w:type="dxa"/>
            <w:tcBorders>
              <w:right w:val="nil"/>
            </w:tcBorders>
          </w:tcPr>
          <w:p w14:paraId="5E8B2C3C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Wymagane jest zapewnienie braku uzależnienia Zamawiającego od jednego dostawcy systemu zrealizowane za pomocą możliwości współpracy różnych systemów sterowania oświetleniem oraz zarządzającymi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 xml:space="preserve"> elementami smart city.</w:t>
            </w:r>
          </w:p>
        </w:tc>
        <w:tc>
          <w:tcPr>
            <w:tcW w:w="2100" w:type="dxa"/>
          </w:tcPr>
          <w:p w14:paraId="1C2CDFA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3C07BA0E" w14:textId="77777777">
        <w:trPr>
          <w:trHeight w:val="1015"/>
        </w:trPr>
        <w:tc>
          <w:tcPr>
            <w:tcW w:w="445" w:type="dxa"/>
          </w:tcPr>
          <w:p w14:paraId="0EE53D5D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7.</w:t>
            </w:r>
          </w:p>
        </w:tc>
        <w:tc>
          <w:tcPr>
            <w:tcW w:w="1980" w:type="dxa"/>
          </w:tcPr>
          <w:p w14:paraId="0B6FD63B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Stabilność pracy</w:t>
            </w:r>
          </w:p>
        </w:tc>
        <w:tc>
          <w:tcPr>
            <w:tcW w:w="6414" w:type="dxa"/>
            <w:tcBorders>
              <w:right w:val="nil"/>
            </w:tcBorders>
          </w:tcPr>
          <w:p w14:paraId="5C7A5250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W okresie gwarancji system musi zapewniać bezpłatną zdalną aktualizacje oprogramowania. System musi mieć tryb pracy autonomicznej sterowników, w sytuacji zaniku komunikacji wewnątrz systemu. Tryb pracy a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utonomicznej oznacza, że sterowniki muszą być wyposażone w pamięć nieulotną która zapewnia, że zanik napięcia zasilania w przypadku braku komunikacji wewnątrz systemu nie usuwa ani nie ma wpływu na program świecenia przekazany przez system do sterownika sy</w:t>
            </w:r>
            <w:r>
              <w:rPr>
                <w:rFonts w:ascii="Times New Roman" w:eastAsia="Calibri" w:hAnsi="Times New Roman" w:cstheme="minorHAnsi"/>
                <w:kern w:val="2"/>
                <w:sz w:val="24"/>
                <w:szCs w:val="24"/>
              </w:rPr>
              <w:t>stemu. System musi mieć możliwość zmiany parametrów pracy sterowników oraz możliwość uzyskania danych ze sterownika na żądanie. Sterownik przechowuje skumulowane dane dotyczące zużycia energii.</w:t>
            </w:r>
          </w:p>
        </w:tc>
        <w:tc>
          <w:tcPr>
            <w:tcW w:w="2100" w:type="dxa"/>
          </w:tcPr>
          <w:p w14:paraId="5BB4A41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</w:tbl>
    <w:p w14:paraId="0F7991AB" w14:textId="77777777" w:rsidR="001F22D0" w:rsidRDefault="001F22D0">
      <w:pPr>
        <w:pStyle w:val="Akapitzlist"/>
        <w:rPr>
          <w:rFonts w:ascii="Times New Roman" w:hAnsi="Times New Roman"/>
        </w:rPr>
      </w:pPr>
    </w:p>
    <w:p w14:paraId="45D5F3C9" w14:textId="31FF3B11" w:rsidR="001F22D0" w:rsidRDefault="001F22D0">
      <w:pPr>
        <w:spacing w:before="280" w:after="280"/>
        <w:rPr>
          <w:rFonts w:ascii="Times New Roman" w:hAnsi="Times New Roman" w:cstheme="minorHAnsi"/>
          <w:b/>
          <w:bCs/>
          <w:sz w:val="24"/>
          <w:szCs w:val="24"/>
        </w:rPr>
      </w:pPr>
    </w:p>
    <w:p w14:paraId="3BF6355F" w14:textId="77777777" w:rsidR="001F22D0" w:rsidRDefault="006B3BC4">
      <w:pPr>
        <w:numPr>
          <w:ilvl w:val="0"/>
          <w:numId w:val="2"/>
        </w:numPr>
        <w:spacing w:after="280"/>
      </w:pPr>
      <w:r>
        <w:rPr>
          <w:rFonts w:ascii="Times New Roman" w:hAnsi="Times New Roman" w:cstheme="minorHAnsi"/>
          <w:b/>
          <w:bCs/>
          <w:sz w:val="24"/>
          <w:szCs w:val="24"/>
        </w:rPr>
        <w:t xml:space="preserve">Minimalne parametry techniczne sterownika opraw </w:t>
      </w:r>
      <w:r>
        <w:rPr>
          <w:rFonts w:ascii="Times New Roman" w:hAnsi="Times New Roman" w:cstheme="minorHAnsi"/>
          <w:b/>
          <w:bCs/>
          <w:sz w:val="24"/>
          <w:szCs w:val="24"/>
        </w:rPr>
        <w:t>oświetleniowych LED</w:t>
      </w:r>
    </w:p>
    <w:tbl>
      <w:tblPr>
        <w:tblStyle w:val="Tabela-Siatka"/>
        <w:tblW w:w="10940" w:type="dxa"/>
        <w:tblInd w:w="-989" w:type="dxa"/>
        <w:tblLayout w:type="fixed"/>
        <w:tblLook w:val="0000" w:firstRow="0" w:lastRow="0" w:firstColumn="0" w:lastColumn="0" w:noHBand="0" w:noVBand="0"/>
      </w:tblPr>
      <w:tblGrid>
        <w:gridCol w:w="724"/>
        <w:gridCol w:w="2166"/>
        <w:gridCol w:w="3570"/>
        <w:gridCol w:w="2437"/>
        <w:gridCol w:w="2043"/>
      </w:tblGrid>
      <w:tr w:rsidR="001F22D0" w14:paraId="299B10B2" w14:textId="77777777">
        <w:trPr>
          <w:trHeight w:val="268"/>
        </w:trPr>
        <w:tc>
          <w:tcPr>
            <w:tcW w:w="724" w:type="dxa"/>
          </w:tcPr>
          <w:p w14:paraId="6F6A3EB2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Lp</w:t>
            </w:r>
          </w:p>
        </w:tc>
        <w:tc>
          <w:tcPr>
            <w:tcW w:w="2166" w:type="dxa"/>
          </w:tcPr>
          <w:p w14:paraId="59F433EA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Dane techniczne, funkcjonalność</w:t>
            </w:r>
          </w:p>
        </w:tc>
        <w:tc>
          <w:tcPr>
            <w:tcW w:w="3570" w:type="dxa"/>
            <w:tcBorders>
              <w:right w:val="nil"/>
            </w:tcBorders>
          </w:tcPr>
          <w:p w14:paraId="08787E97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b/>
                <w:bCs/>
                <w:kern w:val="2"/>
                <w:sz w:val="24"/>
                <w:szCs w:val="24"/>
              </w:rPr>
              <w:t>Wymagana wartość parametru</w:t>
            </w:r>
          </w:p>
        </w:tc>
        <w:tc>
          <w:tcPr>
            <w:tcW w:w="2437" w:type="dxa"/>
            <w:tcBorders>
              <w:right w:val="nil"/>
            </w:tcBorders>
          </w:tcPr>
          <w:p w14:paraId="119D0D8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Dowód spełnienia wymagania</w:t>
            </w:r>
          </w:p>
        </w:tc>
        <w:tc>
          <w:tcPr>
            <w:tcW w:w="2043" w:type="dxa"/>
          </w:tcPr>
          <w:p w14:paraId="511C76AA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Oferowane parametry zaznaczyć</w:t>
            </w:r>
          </w:p>
          <w:p w14:paraId="4C013F4F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spełnia – TAK,</w:t>
            </w:r>
          </w:p>
          <w:p w14:paraId="66E6949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nie spełnia – NIE</w:t>
            </w:r>
          </w:p>
          <w:p w14:paraId="36DF24FF" w14:textId="77777777" w:rsidR="001F22D0" w:rsidRDefault="001F2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22D0" w14:paraId="07988F63" w14:textId="77777777">
        <w:trPr>
          <w:trHeight w:val="268"/>
        </w:trPr>
        <w:tc>
          <w:tcPr>
            <w:tcW w:w="724" w:type="dxa"/>
          </w:tcPr>
          <w:p w14:paraId="3CDC5022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1.</w:t>
            </w:r>
          </w:p>
        </w:tc>
        <w:tc>
          <w:tcPr>
            <w:tcW w:w="2166" w:type="dxa"/>
          </w:tcPr>
          <w:p w14:paraId="6AFB0F87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Sposób montażu sterowników</w:t>
            </w:r>
          </w:p>
        </w:tc>
        <w:tc>
          <w:tcPr>
            <w:tcW w:w="3570" w:type="dxa"/>
            <w:tcBorders>
              <w:right w:val="nil"/>
            </w:tcBorders>
          </w:tcPr>
          <w:p w14:paraId="3C8F8C74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Sterowniki opraw muszą mieć możliwość montażu do gniazd Zhaga Book 18</w:t>
            </w:r>
          </w:p>
        </w:tc>
        <w:tc>
          <w:tcPr>
            <w:tcW w:w="2437" w:type="dxa"/>
            <w:tcBorders>
              <w:right w:val="nil"/>
            </w:tcBorders>
          </w:tcPr>
          <w:p w14:paraId="6A0C12E2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6C3D52A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1D4ED65F" w14:textId="77777777">
        <w:trPr>
          <w:trHeight w:val="268"/>
        </w:trPr>
        <w:tc>
          <w:tcPr>
            <w:tcW w:w="724" w:type="dxa"/>
          </w:tcPr>
          <w:p w14:paraId="02C17DCB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2.</w:t>
            </w:r>
          </w:p>
        </w:tc>
        <w:tc>
          <w:tcPr>
            <w:tcW w:w="2166" w:type="dxa"/>
          </w:tcPr>
          <w:p w14:paraId="54038A65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Sposób komunikacji z oprawą</w:t>
            </w:r>
          </w:p>
        </w:tc>
        <w:tc>
          <w:tcPr>
            <w:tcW w:w="3570" w:type="dxa"/>
            <w:tcBorders>
              <w:right w:val="nil"/>
            </w:tcBorders>
          </w:tcPr>
          <w:p w14:paraId="26E120A2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 xml:space="preserve">Komunikacja z oprawą oświetleniową co najmniej poprzez </w:t>
            </w:r>
            <w:r>
              <w:rPr>
                <w:rFonts w:ascii="Times New Roman" w:eastAsia="Calibri" w:hAnsi="Times New Roman" w:cstheme="minorHAnsi"/>
                <w:kern w:val="2"/>
              </w:rPr>
              <w:lastRenderedPageBreak/>
              <w:t>cyfrową magistralę DALI</w:t>
            </w:r>
          </w:p>
        </w:tc>
        <w:tc>
          <w:tcPr>
            <w:tcW w:w="2437" w:type="dxa"/>
            <w:tcBorders>
              <w:right w:val="nil"/>
            </w:tcBorders>
          </w:tcPr>
          <w:p w14:paraId="25ADAC76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lastRenderedPageBreak/>
              <w:t>Karta techniczna</w:t>
            </w:r>
          </w:p>
        </w:tc>
        <w:tc>
          <w:tcPr>
            <w:tcW w:w="2043" w:type="dxa"/>
          </w:tcPr>
          <w:p w14:paraId="12BDFAE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78C13E87" w14:textId="77777777">
        <w:trPr>
          <w:trHeight w:val="268"/>
        </w:trPr>
        <w:tc>
          <w:tcPr>
            <w:tcW w:w="724" w:type="dxa"/>
          </w:tcPr>
          <w:p w14:paraId="7482B04F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lastRenderedPageBreak/>
              <w:t>3.</w:t>
            </w:r>
          </w:p>
        </w:tc>
        <w:tc>
          <w:tcPr>
            <w:tcW w:w="2166" w:type="dxa"/>
          </w:tcPr>
          <w:p w14:paraId="54B2B092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Zakres temperatur pra</w:t>
            </w:r>
            <w:r>
              <w:rPr>
                <w:rFonts w:ascii="Times New Roman" w:eastAsia="Calibri" w:hAnsi="Times New Roman" w:cstheme="minorHAnsi"/>
                <w:kern w:val="2"/>
              </w:rPr>
              <w:t>cy elementów systemu</w:t>
            </w:r>
          </w:p>
        </w:tc>
        <w:tc>
          <w:tcPr>
            <w:tcW w:w="3570" w:type="dxa"/>
            <w:tcBorders>
              <w:right w:val="nil"/>
            </w:tcBorders>
          </w:tcPr>
          <w:p w14:paraId="662CC434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Min: -30°C do +60°C</w:t>
            </w:r>
          </w:p>
        </w:tc>
        <w:tc>
          <w:tcPr>
            <w:tcW w:w="2437" w:type="dxa"/>
            <w:tcBorders>
              <w:right w:val="nil"/>
            </w:tcBorders>
          </w:tcPr>
          <w:p w14:paraId="5E6FDFB2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04E5A39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0FA32C9A" w14:textId="77777777">
        <w:trPr>
          <w:trHeight w:val="268"/>
        </w:trPr>
        <w:tc>
          <w:tcPr>
            <w:tcW w:w="724" w:type="dxa"/>
          </w:tcPr>
          <w:p w14:paraId="2888B21D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4.</w:t>
            </w:r>
          </w:p>
        </w:tc>
        <w:tc>
          <w:tcPr>
            <w:tcW w:w="2166" w:type="dxa"/>
          </w:tcPr>
          <w:p w14:paraId="1F25B9C2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Pobór mocy przez sterownik oprawy</w:t>
            </w:r>
          </w:p>
        </w:tc>
        <w:tc>
          <w:tcPr>
            <w:tcW w:w="3570" w:type="dxa"/>
            <w:tcBorders>
              <w:right w:val="nil"/>
            </w:tcBorders>
          </w:tcPr>
          <w:p w14:paraId="05541C4D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Max 1W</w:t>
            </w:r>
          </w:p>
        </w:tc>
        <w:tc>
          <w:tcPr>
            <w:tcW w:w="2437" w:type="dxa"/>
            <w:tcBorders>
              <w:right w:val="nil"/>
            </w:tcBorders>
          </w:tcPr>
          <w:p w14:paraId="06CE5AC4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357CCBCC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0C2029D0" w14:textId="77777777">
        <w:trPr>
          <w:trHeight w:val="268"/>
        </w:trPr>
        <w:tc>
          <w:tcPr>
            <w:tcW w:w="724" w:type="dxa"/>
          </w:tcPr>
          <w:p w14:paraId="01F2BB1C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5.</w:t>
            </w:r>
          </w:p>
        </w:tc>
        <w:tc>
          <w:tcPr>
            <w:tcW w:w="2166" w:type="dxa"/>
          </w:tcPr>
          <w:p w14:paraId="5800C643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Napięcie zasilania</w:t>
            </w:r>
          </w:p>
        </w:tc>
        <w:tc>
          <w:tcPr>
            <w:tcW w:w="3570" w:type="dxa"/>
            <w:tcBorders>
              <w:right w:val="nil"/>
            </w:tcBorders>
          </w:tcPr>
          <w:p w14:paraId="30C2CED0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24V DC</w:t>
            </w:r>
          </w:p>
        </w:tc>
        <w:tc>
          <w:tcPr>
            <w:tcW w:w="2437" w:type="dxa"/>
            <w:tcBorders>
              <w:right w:val="nil"/>
            </w:tcBorders>
          </w:tcPr>
          <w:p w14:paraId="3C84BD35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4B5B643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7C48E7AC" w14:textId="77777777">
        <w:trPr>
          <w:trHeight w:val="268"/>
        </w:trPr>
        <w:tc>
          <w:tcPr>
            <w:tcW w:w="724" w:type="dxa"/>
          </w:tcPr>
          <w:p w14:paraId="48F0BAE6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6.</w:t>
            </w:r>
          </w:p>
        </w:tc>
        <w:tc>
          <w:tcPr>
            <w:tcW w:w="2166" w:type="dxa"/>
          </w:tcPr>
          <w:p w14:paraId="563ED515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Materiały</w:t>
            </w:r>
          </w:p>
        </w:tc>
        <w:tc>
          <w:tcPr>
            <w:tcW w:w="3570" w:type="dxa"/>
            <w:tcBorders>
              <w:right w:val="nil"/>
            </w:tcBorders>
          </w:tcPr>
          <w:p w14:paraId="43816411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 xml:space="preserve">Sterownik systemu musi być bezobsługowy, nie może </w:t>
            </w:r>
            <w:r>
              <w:rPr>
                <w:rFonts w:ascii="Times New Roman" w:eastAsia="Calibri" w:hAnsi="Times New Roman" w:cstheme="minorHAnsi"/>
                <w:kern w:val="2"/>
              </w:rPr>
              <w:t>być wyposażony w elementy podlegające okresowym wymianom takie jak baterie, akumulatory, uszczelki o ograniczonej trwałości. Sterownik musi być odporny na ekstremalne warunki atmosferyczne oraz promieniowanie UV.</w:t>
            </w:r>
          </w:p>
        </w:tc>
        <w:tc>
          <w:tcPr>
            <w:tcW w:w="2437" w:type="dxa"/>
            <w:tcBorders>
              <w:right w:val="nil"/>
            </w:tcBorders>
          </w:tcPr>
          <w:p w14:paraId="55E8A70F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595DBDD8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491DB13D" w14:textId="77777777">
        <w:trPr>
          <w:trHeight w:val="268"/>
        </w:trPr>
        <w:tc>
          <w:tcPr>
            <w:tcW w:w="724" w:type="dxa"/>
          </w:tcPr>
          <w:p w14:paraId="13ECBA62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7.</w:t>
            </w:r>
          </w:p>
        </w:tc>
        <w:tc>
          <w:tcPr>
            <w:tcW w:w="2166" w:type="dxa"/>
          </w:tcPr>
          <w:p w14:paraId="7BB6EFAE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 xml:space="preserve">Odczytywane </w:t>
            </w:r>
            <w:r>
              <w:rPr>
                <w:rFonts w:ascii="Times New Roman" w:eastAsia="Calibri" w:hAnsi="Times New Roman" w:cstheme="minorHAnsi"/>
                <w:kern w:val="2"/>
              </w:rPr>
              <w:t>parametry</w:t>
            </w:r>
          </w:p>
        </w:tc>
        <w:tc>
          <w:tcPr>
            <w:tcW w:w="3570" w:type="dxa"/>
            <w:tcBorders>
              <w:right w:val="nil"/>
            </w:tcBorders>
          </w:tcPr>
          <w:p w14:paraId="3415DB40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Sterownik powinien potrafić monitorować następujące parametry: błędy oprawy, licznik pobranej energii czynnej, aktualna moc oprawy, aktualny współczynnik mocy - PF, napięcie, licznik przepracowanych godzin oprawy.</w:t>
            </w:r>
          </w:p>
        </w:tc>
        <w:tc>
          <w:tcPr>
            <w:tcW w:w="2437" w:type="dxa"/>
            <w:tcBorders>
              <w:right w:val="nil"/>
            </w:tcBorders>
          </w:tcPr>
          <w:p w14:paraId="4588F599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3242D62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3F788F32" w14:textId="77777777">
        <w:trPr>
          <w:trHeight w:val="268"/>
        </w:trPr>
        <w:tc>
          <w:tcPr>
            <w:tcW w:w="724" w:type="dxa"/>
          </w:tcPr>
          <w:p w14:paraId="132557AA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8.</w:t>
            </w:r>
          </w:p>
        </w:tc>
        <w:tc>
          <w:tcPr>
            <w:tcW w:w="2166" w:type="dxa"/>
          </w:tcPr>
          <w:p w14:paraId="1AA0DAD2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Kla</w:t>
            </w:r>
            <w:r>
              <w:rPr>
                <w:rFonts w:ascii="Times New Roman" w:eastAsia="Calibri" w:hAnsi="Times New Roman" w:cstheme="minorHAnsi"/>
                <w:kern w:val="2"/>
              </w:rPr>
              <w:t>sa szczelności</w:t>
            </w:r>
          </w:p>
        </w:tc>
        <w:tc>
          <w:tcPr>
            <w:tcW w:w="3570" w:type="dxa"/>
            <w:tcBorders>
              <w:right w:val="nil"/>
            </w:tcBorders>
          </w:tcPr>
          <w:p w14:paraId="27F75766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IP66 – w przypadku gdy urządzenie posiada klasę szczelności IP67 musi być dodatkowo przebadane na okoliczność spełnienia klasy szczelności IP66</w:t>
            </w:r>
          </w:p>
        </w:tc>
        <w:tc>
          <w:tcPr>
            <w:tcW w:w="2437" w:type="dxa"/>
            <w:tcBorders>
              <w:right w:val="nil"/>
            </w:tcBorders>
          </w:tcPr>
          <w:p w14:paraId="56E0A4DE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color w:val="000000"/>
                <w:sz w:val="24"/>
                <w:szCs w:val="24"/>
              </w:rPr>
              <w:t>Karta techniczna,  sprawozdanie z badań z laboratorium posiadającego akredytację PCA</w:t>
            </w:r>
          </w:p>
        </w:tc>
        <w:tc>
          <w:tcPr>
            <w:tcW w:w="2043" w:type="dxa"/>
          </w:tcPr>
          <w:p w14:paraId="0321B710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295BCB43" w14:textId="77777777">
        <w:trPr>
          <w:trHeight w:val="268"/>
        </w:trPr>
        <w:tc>
          <w:tcPr>
            <w:tcW w:w="724" w:type="dxa"/>
          </w:tcPr>
          <w:p w14:paraId="0F1A355B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9.</w:t>
            </w:r>
          </w:p>
        </w:tc>
        <w:tc>
          <w:tcPr>
            <w:tcW w:w="2166" w:type="dxa"/>
          </w:tcPr>
          <w:p w14:paraId="7B7D9369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Odporność na wibracje</w:t>
            </w:r>
          </w:p>
        </w:tc>
        <w:tc>
          <w:tcPr>
            <w:tcW w:w="3570" w:type="dxa"/>
            <w:tcBorders>
              <w:right w:val="nil"/>
            </w:tcBorders>
          </w:tcPr>
          <w:p w14:paraId="1B8D1B8F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Zgodnie z normą PN-EN 60068-2-6:2008</w:t>
            </w:r>
          </w:p>
          <w:p w14:paraId="0F66EC88" w14:textId="77777777" w:rsidR="001F22D0" w:rsidRDefault="006B3BC4">
            <w:pPr>
              <w:tabs>
                <w:tab w:val="left" w:pos="1140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zakres: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* częstotliwość 8-57Hz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* amplituda 0,35mm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* szybkość przemiatania 1oct / min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* kierunki wymuszenia Z, Y, X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* czas trwania testu 35 min/oś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 wydany przez akredytowane laboratorium dla każdego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korpusu oprawy</w:t>
            </w:r>
          </w:p>
        </w:tc>
        <w:tc>
          <w:tcPr>
            <w:tcW w:w="2437" w:type="dxa"/>
            <w:tcBorders>
              <w:right w:val="nil"/>
            </w:tcBorders>
          </w:tcPr>
          <w:p w14:paraId="7A8CDDFE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 xml:space="preserve">Karta techniczna, </w:t>
            </w:r>
            <w:r>
              <w:rPr>
                <w:rFonts w:ascii="Times New Roman" w:eastAsia="Calibri" w:hAnsi="Times New Roman" w:cstheme="minorHAnsi"/>
                <w:color w:val="000000"/>
                <w:sz w:val="24"/>
                <w:szCs w:val="24"/>
              </w:rPr>
              <w:t>sprawozdanie z badań z laboratorium posiadającego akredytację PCA</w:t>
            </w:r>
          </w:p>
        </w:tc>
        <w:tc>
          <w:tcPr>
            <w:tcW w:w="2043" w:type="dxa"/>
          </w:tcPr>
          <w:p w14:paraId="092D4925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7000A954" w14:textId="77777777">
        <w:trPr>
          <w:trHeight w:val="1732"/>
        </w:trPr>
        <w:tc>
          <w:tcPr>
            <w:tcW w:w="724" w:type="dxa"/>
          </w:tcPr>
          <w:p w14:paraId="4191935F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lastRenderedPageBreak/>
              <w:t>10.</w:t>
            </w:r>
          </w:p>
        </w:tc>
        <w:tc>
          <w:tcPr>
            <w:tcW w:w="2166" w:type="dxa"/>
          </w:tcPr>
          <w:p w14:paraId="08CF68AD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Zarządzanie</w:t>
            </w:r>
          </w:p>
        </w:tc>
        <w:tc>
          <w:tcPr>
            <w:tcW w:w="3570" w:type="dxa"/>
            <w:tcBorders>
              <w:right w:val="nil"/>
            </w:tcBorders>
          </w:tcPr>
          <w:p w14:paraId="17EF5B10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Pełna zgodność z systemem sterowania</w:t>
            </w:r>
          </w:p>
        </w:tc>
        <w:tc>
          <w:tcPr>
            <w:tcW w:w="2437" w:type="dxa"/>
            <w:tcBorders>
              <w:right w:val="nil"/>
            </w:tcBorders>
          </w:tcPr>
          <w:p w14:paraId="548540B7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</w:tcPr>
          <w:p w14:paraId="17108666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2A6FD9AF" w14:textId="77777777">
        <w:trPr>
          <w:trHeight w:val="1732"/>
        </w:trPr>
        <w:tc>
          <w:tcPr>
            <w:tcW w:w="724" w:type="dxa"/>
            <w:tcBorders>
              <w:top w:val="nil"/>
            </w:tcBorders>
          </w:tcPr>
          <w:p w14:paraId="646CF725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11.</w:t>
            </w:r>
          </w:p>
        </w:tc>
        <w:tc>
          <w:tcPr>
            <w:tcW w:w="2166" w:type="dxa"/>
            <w:tcBorders>
              <w:top w:val="nil"/>
            </w:tcBorders>
          </w:tcPr>
          <w:p w14:paraId="43523B8E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Dodatkowa funkcjonalność</w:t>
            </w:r>
          </w:p>
        </w:tc>
        <w:tc>
          <w:tcPr>
            <w:tcW w:w="3570" w:type="dxa"/>
            <w:tcBorders>
              <w:top w:val="nil"/>
              <w:right w:val="nil"/>
            </w:tcBorders>
          </w:tcPr>
          <w:p w14:paraId="44C38CC1" w14:textId="77777777" w:rsidR="001F22D0" w:rsidRDefault="006B3BC4">
            <w:pPr>
              <w:pStyle w:val="Akapitzlist"/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Calibri" w:hAnsi="Times New Roman" w:cstheme="minorHAnsi"/>
                <w:kern w:val="2"/>
              </w:rPr>
              <w:t xml:space="preserve">Wbudowany czujnik natężenia światła </w:t>
            </w:r>
            <w:r>
              <w:rPr>
                <w:rFonts w:ascii="Times New Roman" w:eastAsia="Calibri" w:hAnsi="Times New Roman" w:cstheme="minorHAnsi"/>
                <w:kern w:val="2"/>
              </w:rPr>
              <w:t>uniemożliwiający załączeniu oświetlenia po wschodzie słońca z możliwością wykorzystania do pracy autonomicznej</w:t>
            </w:r>
          </w:p>
          <w:p w14:paraId="1CFB9D9C" w14:textId="77777777" w:rsidR="001F22D0" w:rsidRDefault="006B3BC4">
            <w:pPr>
              <w:pStyle w:val="Akapitzlist"/>
              <w:numPr>
                <w:ilvl w:val="0"/>
                <w:numId w:val="4"/>
              </w:num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Aktualizacja firmware sterowników z wykorzystaniem bezprzewodowej technologii FUOTA</w:t>
            </w:r>
          </w:p>
        </w:tc>
        <w:tc>
          <w:tcPr>
            <w:tcW w:w="2437" w:type="dxa"/>
            <w:tcBorders>
              <w:top w:val="nil"/>
              <w:right w:val="nil"/>
            </w:tcBorders>
          </w:tcPr>
          <w:p w14:paraId="7BDA26CF" w14:textId="77777777" w:rsidR="001F22D0" w:rsidRDefault="006B3BC4"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  <w:tcBorders>
              <w:top w:val="nil"/>
            </w:tcBorders>
          </w:tcPr>
          <w:p w14:paraId="7B0FDBCA" w14:textId="77777777" w:rsidR="001F22D0" w:rsidRDefault="006B3BC4">
            <w:pPr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  <w:tr w:rsidR="001F22D0" w14:paraId="214FF861" w14:textId="77777777">
        <w:trPr>
          <w:trHeight w:val="1732"/>
        </w:trPr>
        <w:tc>
          <w:tcPr>
            <w:tcW w:w="724" w:type="dxa"/>
            <w:tcBorders>
              <w:top w:val="nil"/>
            </w:tcBorders>
          </w:tcPr>
          <w:p w14:paraId="1FFEC772" w14:textId="77777777" w:rsidR="001F22D0" w:rsidRDefault="006B3BC4">
            <w:pPr>
              <w:spacing w:after="100"/>
              <w:jc w:val="both"/>
            </w:pPr>
            <w:r>
              <w:rPr>
                <w:rFonts w:ascii="Times New Roman" w:eastAsia="Calibri" w:hAnsi="Times New Roman" w:cstheme="minorHAnsi"/>
                <w:kern w:val="2"/>
              </w:rPr>
              <w:t>11.</w:t>
            </w:r>
          </w:p>
        </w:tc>
        <w:tc>
          <w:tcPr>
            <w:tcW w:w="2166" w:type="dxa"/>
            <w:tcBorders>
              <w:top w:val="nil"/>
            </w:tcBorders>
          </w:tcPr>
          <w:p w14:paraId="0C363516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Protokół komunikacyjny</w:t>
            </w:r>
          </w:p>
        </w:tc>
        <w:tc>
          <w:tcPr>
            <w:tcW w:w="3570" w:type="dxa"/>
            <w:tcBorders>
              <w:top w:val="nil"/>
              <w:right w:val="nil"/>
            </w:tcBorders>
          </w:tcPr>
          <w:p w14:paraId="169F4A36" w14:textId="77777777" w:rsidR="001F22D0" w:rsidRDefault="006B3BC4">
            <w:pPr>
              <w:spacing w:after="100"/>
            </w:pPr>
            <w:r>
              <w:rPr>
                <w:rFonts w:ascii="Times New Roman" w:eastAsia="Calibri" w:hAnsi="Times New Roman" w:cstheme="minorHAnsi"/>
                <w:kern w:val="2"/>
              </w:rPr>
              <w:t>LoRaWAN</w:t>
            </w:r>
            <w:r>
              <w:rPr>
                <w:rFonts w:ascii="Times New Roman" w:eastAsia="Calibri" w:hAnsi="Times New Roman" w:cstheme="minorHAnsi"/>
                <w:kern w:val="2"/>
              </w:rPr>
              <w:t xml:space="preserve"> 1.1 class C</w:t>
            </w:r>
          </w:p>
        </w:tc>
        <w:tc>
          <w:tcPr>
            <w:tcW w:w="2437" w:type="dxa"/>
            <w:tcBorders>
              <w:top w:val="nil"/>
              <w:right w:val="nil"/>
            </w:tcBorders>
          </w:tcPr>
          <w:p w14:paraId="77EEBC73" w14:textId="77777777" w:rsidR="001F22D0" w:rsidRDefault="006B3BC4">
            <w:pPr>
              <w:spacing w:after="100"/>
            </w:pPr>
            <w:r>
              <w:rPr>
                <w:rFonts w:ascii="Times New Roman" w:hAnsi="Times New Roman" w:cstheme="minorHAnsi"/>
              </w:rPr>
              <w:t>Karta techniczna</w:t>
            </w:r>
          </w:p>
        </w:tc>
        <w:tc>
          <w:tcPr>
            <w:tcW w:w="2043" w:type="dxa"/>
            <w:tcBorders>
              <w:top w:val="nil"/>
            </w:tcBorders>
          </w:tcPr>
          <w:p w14:paraId="1CC088E2" w14:textId="77777777" w:rsidR="001F22D0" w:rsidRDefault="006B3BC4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TAK/NIE</w:t>
            </w:r>
          </w:p>
        </w:tc>
      </w:tr>
    </w:tbl>
    <w:p w14:paraId="13F87682" w14:textId="77777777" w:rsidR="001F22D0" w:rsidRDefault="001F22D0">
      <w:pPr>
        <w:spacing w:before="280" w:after="280"/>
        <w:rPr>
          <w:rFonts w:ascii="Times New Roman" w:hAnsi="Times New Roman" w:cstheme="minorHAnsi"/>
          <w:b/>
          <w:bCs/>
          <w:sz w:val="24"/>
          <w:szCs w:val="24"/>
        </w:rPr>
      </w:pPr>
    </w:p>
    <w:p w14:paraId="3DE727D4" w14:textId="77777777" w:rsidR="001F22D0" w:rsidRDefault="001F22D0">
      <w:pPr>
        <w:pStyle w:val="Akapitzlist"/>
        <w:spacing w:after="0" w:line="276" w:lineRule="auto"/>
        <w:rPr>
          <w:rFonts w:ascii="Times New Roman" w:hAnsi="Times New Roman" w:cs="Times New Roman"/>
          <w:b/>
          <w:bCs/>
          <w:strike/>
          <w:sz w:val="24"/>
          <w:szCs w:val="24"/>
        </w:rPr>
      </w:pPr>
    </w:p>
    <w:p w14:paraId="67EFB83F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7C269F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28485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02A560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F4385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E1184" w14:textId="77777777" w:rsidR="001F22D0" w:rsidRDefault="006B3BC4"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Podpis wykonawcy …………………………………… </w:t>
      </w:r>
    </w:p>
    <w:p w14:paraId="1392EABE" w14:textId="77777777" w:rsidR="001F22D0" w:rsidRDefault="001F22D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F22D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34" w:footer="45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3BE42" w14:textId="77777777" w:rsidR="006B3BC4" w:rsidRDefault="006B3BC4">
      <w:pPr>
        <w:spacing w:after="0" w:line="240" w:lineRule="auto"/>
      </w:pPr>
      <w:r>
        <w:separator/>
      </w:r>
    </w:p>
  </w:endnote>
  <w:endnote w:type="continuationSeparator" w:id="0">
    <w:p w14:paraId="0831C5C8" w14:textId="77777777" w:rsidR="006B3BC4" w:rsidRDefault="006B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31FB8" w14:textId="77777777" w:rsidR="001F22D0" w:rsidRDefault="006B3BC4">
    <w:pPr>
      <w:pStyle w:val="Stopka"/>
      <w:rPr>
        <w:rFonts w:ascii="Cambria" w:hAnsi="Cambria" w:cstheme="minorHAnsi"/>
        <w:b/>
        <w:sz w:val="20"/>
        <w:szCs w:val="20"/>
        <w:bdr w:val="single" w:sz="4" w:space="0" w:color="000000"/>
      </w:rPr>
    </w:pPr>
    <w:r>
      <w:rPr>
        <w:rFonts w:ascii="Cambria" w:hAnsi="Cambria" w:cstheme="minorHAnsi"/>
        <w:sz w:val="18"/>
        <w:szCs w:val="18"/>
        <w:bdr w:val="single" w:sz="4" w:space="0" w:color="000000"/>
      </w:rPr>
      <w:t xml:space="preserve">Załącznik Nr 9 do SWZ – Wykaz minimalnych </w:t>
    </w:r>
    <w:r>
      <w:rPr>
        <w:rFonts w:ascii="Cambria" w:hAnsi="Cambria" w:cstheme="minorHAnsi"/>
        <w:sz w:val="18"/>
        <w:szCs w:val="18"/>
        <w:bdr w:val="single" w:sz="4" w:space="0" w:color="000000"/>
      </w:rPr>
      <w:t>parametrów technicznych i cech funkcjonalnych</w:t>
    </w:r>
    <w:r>
      <w:rPr>
        <w:rFonts w:ascii="Cambria" w:hAnsi="Cambria" w:cstheme="minorHAnsi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libri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separate"/>
    </w:r>
    <w:r w:rsidR="00346865">
      <w:rPr>
        <w:rFonts w:ascii="Cambria" w:hAnsi="Cambria" w:cs="Calibri"/>
        <w:b/>
        <w:noProof/>
        <w:sz w:val="20"/>
        <w:szCs w:val="20"/>
        <w:bdr w:val="single" w:sz="4" w:space="0" w:color="000000"/>
      </w:rPr>
      <w:t>11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 w:cstheme="minorHAnsi"/>
        <w:sz w:val="20"/>
        <w:szCs w:val="20"/>
        <w:bdr w:val="single" w:sz="4" w:space="0" w:color="000000"/>
      </w:rPr>
      <w:t xml:space="preserve"> z 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libri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separate"/>
    </w:r>
    <w:r w:rsidR="00346865">
      <w:rPr>
        <w:rFonts w:ascii="Cambria" w:hAnsi="Cambria" w:cs="Calibri"/>
        <w:b/>
        <w:noProof/>
        <w:sz w:val="20"/>
        <w:szCs w:val="20"/>
        <w:bdr w:val="single" w:sz="4" w:space="0" w:color="000000"/>
      </w:rPr>
      <w:t>11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end"/>
    </w:r>
  </w:p>
  <w:p w14:paraId="72147ABE" w14:textId="77777777" w:rsidR="001F22D0" w:rsidRDefault="001F22D0">
    <w:pPr>
      <w:pStyle w:val="Stopka"/>
      <w:rPr>
        <w:rFonts w:cstheme="minorHAnsi"/>
        <w:b/>
        <w:sz w:val="20"/>
        <w:szCs w:val="20"/>
        <w:bdr w:val="single" w:sz="4" w:space="0" w:color="000000"/>
      </w:rPr>
    </w:pPr>
  </w:p>
  <w:p w14:paraId="16B5C99E" w14:textId="77777777" w:rsidR="001F22D0" w:rsidRDefault="001F22D0">
    <w:pPr>
      <w:pStyle w:val="Stopka"/>
      <w:rPr>
        <w:rFonts w:cstheme="minorHAnsi"/>
        <w:b/>
        <w:sz w:val="20"/>
        <w:szCs w:val="20"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7A0B7" w14:textId="77777777" w:rsidR="001F22D0" w:rsidRDefault="006B3BC4">
    <w:pPr>
      <w:pStyle w:val="Stopka"/>
      <w:rPr>
        <w:rFonts w:ascii="Cambria" w:hAnsi="Cambria" w:cstheme="minorHAnsi"/>
        <w:b/>
        <w:sz w:val="20"/>
        <w:szCs w:val="20"/>
        <w:bdr w:val="single" w:sz="4" w:space="0" w:color="000000"/>
      </w:rPr>
    </w:pPr>
    <w:r>
      <w:rPr>
        <w:rFonts w:ascii="Cambria" w:hAnsi="Cambria" w:cstheme="minorHAnsi"/>
        <w:sz w:val="18"/>
        <w:szCs w:val="18"/>
        <w:bdr w:val="single" w:sz="4" w:space="0" w:color="000000"/>
      </w:rPr>
      <w:t>Załącznik Nr 9 do SWZ – Wykaz minimalnych parametrów technicznych i cech funkcjonalnych</w:t>
    </w:r>
    <w:r>
      <w:rPr>
        <w:rFonts w:ascii="Cambria" w:hAnsi="Cambria" w:cstheme="minorHAnsi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libri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 w:cs="Calibri"/>
        <w:b/>
        <w:sz w:val="20"/>
        <w:szCs w:val="20"/>
        <w:bdr w:val="single" w:sz="4" w:space="0" w:color="000000"/>
      </w:rPr>
      <w:t>10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 w:cstheme="minorHAnsi"/>
        <w:sz w:val="20"/>
        <w:szCs w:val="20"/>
        <w:bdr w:val="single" w:sz="4" w:space="0" w:color="000000"/>
      </w:rPr>
      <w:t xml:space="preserve"> z 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libri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 w:cs="Calibri"/>
        <w:b/>
        <w:sz w:val="20"/>
        <w:szCs w:val="20"/>
        <w:bdr w:val="single" w:sz="4" w:space="0" w:color="000000"/>
      </w:rPr>
      <w:t>10</w:t>
    </w:r>
    <w:r>
      <w:rPr>
        <w:rFonts w:ascii="Cambria" w:hAnsi="Cambria" w:cs="Calibri"/>
        <w:b/>
        <w:sz w:val="20"/>
        <w:szCs w:val="20"/>
        <w:bdr w:val="single" w:sz="4" w:space="0" w:color="000000"/>
      </w:rPr>
      <w:fldChar w:fldCharType="end"/>
    </w:r>
  </w:p>
  <w:p w14:paraId="2F0D7EE6" w14:textId="77777777" w:rsidR="001F22D0" w:rsidRDefault="001F22D0">
    <w:pPr>
      <w:pStyle w:val="Stopka"/>
      <w:rPr>
        <w:rFonts w:cstheme="minorHAnsi"/>
        <w:b/>
        <w:sz w:val="20"/>
        <w:szCs w:val="20"/>
        <w:bdr w:val="single" w:sz="4" w:space="0" w:color="000000"/>
      </w:rPr>
    </w:pPr>
  </w:p>
  <w:p w14:paraId="33C9FF1E" w14:textId="77777777" w:rsidR="001F22D0" w:rsidRDefault="001F22D0">
    <w:pPr>
      <w:pStyle w:val="Stopka"/>
      <w:rPr>
        <w:rFonts w:cstheme="minorHAnsi"/>
        <w:b/>
        <w:sz w:val="20"/>
        <w:szCs w:val="20"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CD73E" w14:textId="77777777" w:rsidR="006B3BC4" w:rsidRDefault="006B3BC4">
      <w:pPr>
        <w:spacing w:after="0" w:line="240" w:lineRule="auto"/>
      </w:pPr>
      <w:r>
        <w:separator/>
      </w:r>
    </w:p>
  </w:footnote>
  <w:footnote w:type="continuationSeparator" w:id="0">
    <w:p w14:paraId="4B5B4D44" w14:textId="77777777" w:rsidR="006B3BC4" w:rsidRDefault="006B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84C4" w14:textId="77777777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</w:p>
  <w:p w14:paraId="18FD5F8C" w14:textId="6A3BD1E1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  <w:r>
      <w:rPr>
        <w:noProof/>
        <w:lang w:eastAsia="pl-PL"/>
      </w:rPr>
      <w:drawing>
        <wp:anchor distT="0" distB="0" distL="114300" distR="114300" simplePos="0" relativeHeight="251707904" behindDoc="0" locked="0" layoutInCell="1" allowOverlap="1" wp14:anchorId="7C05250E" wp14:editId="6C151AA9">
          <wp:simplePos x="0" y="0"/>
          <wp:positionH relativeFrom="column">
            <wp:posOffset>4183380</wp:posOffset>
          </wp:positionH>
          <wp:positionV relativeFrom="paragraph">
            <wp:posOffset>40640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99712" behindDoc="1" locked="0" layoutInCell="1" allowOverlap="1" wp14:anchorId="160B99BA" wp14:editId="55B8E886">
          <wp:simplePos x="0" y="0"/>
          <wp:positionH relativeFrom="column">
            <wp:posOffset>3177540</wp:posOffset>
          </wp:positionH>
          <wp:positionV relativeFrom="paragraph">
            <wp:posOffset>124460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6" name="Obraz 6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B473994" w14:textId="72172945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  <w:r>
      <w:rPr>
        <w:noProof/>
        <w:lang w:eastAsia="pl-PL"/>
      </w:rPr>
      <w:drawing>
        <wp:anchor distT="0" distB="0" distL="114300" distR="114300" simplePos="0" relativeHeight="251677184" behindDoc="1" locked="0" layoutInCell="1" allowOverlap="1" wp14:anchorId="11835AA0" wp14:editId="5AB4C80A">
          <wp:simplePos x="0" y="0"/>
          <wp:positionH relativeFrom="column">
            <wp:posOffset>2011680</wp:posOffset>
          </wp:positionH>
          <wp:positionV relativeFrom="paragraph">
            <wp:posOffset>18415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46865">
      <w:rPr>
        <w:rFonts w:ascii="Calibri" w:eastAsia="Calibri" w:hAnsi="Calibri" w:cs="Times New Roman"/>
        <w:noProof/>
        <w:sz w:val="24"/>
        <w:szCs w:val="24"/>
        <w:lang w:eastAsia="pl-PL"/>
      </w:rPr>
      <w:drawing>
        <wp:anchor distT="0" distB="0" distL="114300" distR="114300" simplePos="0" relativeHeight="251643392" behindDoc="1" locked="0" layoutInCell="1" allowOverlap="1" wp14:anchorId="6DA15351" wp14:editId="09353DF4">
          <wp:simplePos x="0" y="0"/>
          <wp:positionH relativeFrom="column">
            <wp:posOffset>106680</wp:posOffset>
          </wp:positionH>
          <wp:positionV relativeFrom="paragraph">
            <wp:posOffset>1270</wp:posOffset>
          </wp:positionV>
          <wp:extent cx="1776730" cy="71374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678B3B1" w14:textId="26E1F841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</w:p>
  <w:p w14:paraId="5F92475E" w14:textId="5CCE1D03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</w:p>
  <w:p w14:paraId="09C8D896" w14:textId="01005347" w:rsidR="00346865" w:rsidRDefault="00346865" w:rsidP="00346865">
    <w:pPr>
      <w:tabs>
        <w:tab w:val="left" w:pos="567"/>
        <w:tab w:val="left" w:pos="6432"/>
      </w:tabs>
      <w:suppressAutoHyphens w:val="0"/>
      <w:spacing w:after="0" w:line="276" w:lineRule="auto"/>
      <w:rPr>
        <w:rFonts w:ascii="Cambria" w:eastAsia="Calibri" w:hAnsi="Cambria" w:cs="Cambria"/>
        <w:sz w:val="17"/>
        <w:szCs w:val="17"/>
      </w:rPr>
    </w:pPr>
    <w:r>
      <w:rPr>
        <w:rFonts w:ascii="Cambria" w:eastAsia="Calibri" w:hAnsi="Cambria" w:cs="Cambria"/>
        <w:sz w:val="17"/>
        <w:szCs w:val="17"/>
      </w:rPr>
      <w:tab/>
    </w:r>
    <w:r>
      <w:rPr>
        <w:rFonts w:ascii="Cambria" w:eastAsia="Calibri" w:hAnsi="Cambria" w:cs="Cambria"/>
        <w:sz w:val="17"/>
        <w:szCs w:val="17"/>
      </w:rPr>
      <w:tab/>
    </w:r>
  </w:p>
  <w:p w14:paraId="7929BA7F" w14:textId="51345B4C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</w:p>
  <w:p w14:paraId="3BF3E85C" w14:textId="77777777" w:rsidR="00346865" w:rsidRDefault="00346865" w:rsidP="00346865">
    <w:pPr>
      <w:tabs>
        <w:tab w:val="left" w:pos="567"/>
      </w:tabs>
      <w:suppressAutoHyphens w:val="0"/>
      <w:spacing w:after="0" w:line="276" w:lineRule="auto"/>
      <w:rPr>
        <w:rFonts w:ascii="Cambria" w:eastAsia="Calibri" w:hAnsi="Cambria" w:cs="Cambria"/>
        <w:sz w:val="17"/>
        <w:szCs w:val="17"/>
      </w:rPr>
    </w:pPr>
  </w:p>
  <w:p w14:paraId="1725D276" w14:textId="77777777" w:rsidR="00346865" w:rsidRDefault="00346865" w:rsidP="00346865">
    <w:pPr>
      <w:tabs>
        <w:tab w:val="left" w:pos="567"/>
      </w:tabs>
      <w:suppressAutoHyphens w:val="0"/>
      <w:spacing w:after="0" w:line="276" w:lineRule="auto"/>
      <w:rPr>
        <w:rFonts w:ascii="Cambria" w:eastAsia="Calibri" w:hAnsi="Cambria" w:cs="Cambria"/>
        <w:sz w:val="17"/>
        <w:szCs w:val="17"/>
      </w:rPr>
    </w:pPr>
  </w:p>
  <w:p w14:paraId="5EE9412B" w14:textId="77777777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sz w:val="17"/>
        <w:szCs w:val="17"/>
      </w:rPr>
    </w:pPr>
    <w:r w:rsidRPr="00346865">
      <w:rPr>
        <w:rFonts w:ascii="Cambria" w:eastAsia="Calibri" w:hAnsi="Cambria" w:cs="Cambria"/>
        <w:sz w:val="17"/>
        <w:szCs w:val="17"/>
      </w:rPr>
      <w:t>Postępowanie o udzielenie zamówienia publicznego prowadzone w trybie podstawowym na zadanie inwestycyjne</w:t>
    </w:r>
  </w:p>
  <w:p w14:paraId="0C1DF219" w14:textId="77777777" w:rsid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Calibri" w:hAnsi="Cambria" w:cs="Cambria"/>
        <w:b/>
        <w:bCs/>
        <w:i/>
        <w:iCs/>
        <w:sz w:val="17"/>
        <w:szCs w:val="17"/>
      </w:rPr>
    </w:pPr>
    <w:r w:rsidRPr="00346865">
      <w:rPr>
        <w:rFonts w:ascii="Cambria" w:eastAsia="Calibri" w:hAnsi="Cambria" w:cs="Cambria"/>
        <w:sz w:val="17"/>
        <w:szCs w:val="17"/>
      </w:rPr>
      <w:t xml:space="preserve"> pn.,</w:t>
    </w:r>
    <w:r w:rsidRPr="00346865">
      <w:rPr>
        <w:rFonts w:ascii="Cambria" w:eastAsia="Calibri" w:hAnsi="Cambria" w:cs="Cambria"/>
        <w:b/>
        <w:sz w:val="17"/>
        <w:szCs w:val="17"/>
      </w:rPr>
      <w:t xml:space="preserve"> „Modernizacja istniejącego oświetlenia na terenie Gminy Horodło”</w:t>
    </w:r>
    <w:r w:rsidRPr="00346865">
      <w:rPr>
        <w:rFonts w:ascii="Cambria" w:eastAsia="Calibri" w:hAnsi="Cambria" w:cs="Cambria"/>
        <w:sz w:val="17"/>
        <w:szCs w:val="17"/>
      </w:rPr>
      <w:t xml:space="preserve"> dofinansowane ze środków </w:t>
    </w:r>
    <w:r w:rsidRPr="00346865">
      <w:rPr>
        <w:rFonts w:ascii="Cambria" w:eastAsia="Calibri" w:hAnsi="Cambria" w:cs="Cambria"/>
        <w:b/>
        <w:bCs/>
        <w:i/>
        <w:iCs/>
        <w:sz w:val="17"/>
        <w:szCs w:val="17"/>
      </w:rPr>
      <w:t xml:space="preserve">Rządowego </w:t>
    </w:r>
  </w:p>
  <w:p w14:paraId="598918C1" w14:textId="73DD537D" w:rsidR="00346865" w:rsidRPr="00346865" w:rsidRDefault="00346865" w:rsidP="00346865">
    <w:pPr>
      <w:tabs>
        <w:tab w:val="left" w:pos="567"/>
      </w:tabs>
      <w:suppressAutoHyphens w:val="0"/>
      <w:spacing w:after="0" w:line="276" w:lineRule="auto"/>
      <w:jc w:val="center"/>
      <w:rPr>
        <w:rFonts w:ascii="Cambria" w:eastAsia="Times New Roman" w:hAnsi="Cambria" w:cs="Times New Roman"/>
        <w:b/>
        <w:bCs/>
        <w:sz w:val="17"/>
        <w:szCs w:val="17"/>
      </w:rPr>
    </w:pPr>
    <w:r w:rsidRPr="00346865">
      <w:rPr>
        <w:rFonts w:ascii="Cambria" w:eastAsia="Calibri" w:hAnsi="Cambria" w:cs="Cambria"/>
        <w:b/>
        <w:bCs/>
        <w:i/>
        <w:iCs/>
        <w:sz w:val="17"/>
        <w:szCs w:val="17"/>
      </w:rPr>
      <w:t>Funduszu Polski Ład: Program Inwestycji Strategicznych</w:t>
    </w:r>
  </w:p>
  <w:p w14:paraId="27C1B76B" w14:textId="77777777" w:rsidR="001F22D0" w:rsidRDefault="001F22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87AB3" w14:textId="77777777" w:rsidR="001F22D0" w:rsidRDefault="001F22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972C3"/>
    <w:multiLevelType w:val="multilevel"/>
    <w:tmpl w:val="C2B4EDF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52853F7"/>
    <w:multiLevelType w:val="multilevel"/>
    <w:tmpl w:val="F29E55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1EF0835"/>
    <w:multiLevelType w:val="multilevel"/>
    <w:tmpl w:val="0BC8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3762588E"/>
    <w:multiLevelType w:val="multilevel"/>
    <w:tmpl w:val="00449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89D2DB8"/>
    <w:multiLevelType w:val="multilevel"/>
    <w:tmpl w:val="606ED4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7D3B0272"/>
    <w:multiLevelType w:val="multilevel"/>
    <w:tmpl w:val="018C90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2D0"/>
    <w:rsid w:val="001F22D0"/>
    <w:rsid w:val="00235EF4"/>
    <w:rsid w:val="00346865"/>
    <w:rsid w:val="006B3BC4"/>
    <w:rsid w:val="00ED21E8"/>
    <w:rsid w:val="00FB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A7799"/>
  <w15:docId w15:val="{4A803DF7-F06F-496D-A959-1DA0F4EF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797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469B1"/>
  </w:style>
  <w:style w:type="character" w:customStyle="1" w:styleId="StopkaZnak">
    <w:name w:val="Stopka Znak"/>
    <w:basedOn w:val="Domylnaczcionkaakapitu"/>
    <w:link w:val="Stopka"/>
    <w:uiPriority w:val="99"/>
    <w:qFormat/>
    <w:rsid w:val="00B469B1"/>
  </w:style>
  <w:style w:type="character" w:customStyle="1" w:styleId="TekstpodstawowyZnak">
    <w:name w:val="Tekst podstawowy Znak"/>
    <w:basedOn w:val="Domylnaczcionkaakapitu"/>
    <w:uiPriority w:val="99"/>
    <w:semiHidden/>
    <w:qFormat/>
    <w:rsid w:val="00B469B1"/>
  </w:style>
  <w:style w:type="character" w:customStyle="1" w:styleId="TekstpodstawowyZnak1">
    <w:name w:val="Tekst podstawowy Znak1"/>
    <w:basedOn w:val="Domylnaczcionkaakapitu"/>
    <w:link w:val="Tekstpodstawowy"/>
    <w:qFormat/>
    <w:rsid w:val="00B469B1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7A22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7A22"/>
    <w:rPr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7A22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7A22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link w:val="Akapitzlist"/>
    <w:qFormat/>
    <w:locked/>
    <w:rsid w:val="009F7A22"/>
  </w:style>
  <w:style w:type="character" w:customStyle="1" w:styleId="StyltekstZnak">
    <w:name w:val="Styl tekst Znak"/>
    <w:link w:val="Styltekst"/>
    <w:qFormat/>
    <w:rsid w:val="007252A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pple-converted-space">
    <w:name w:val="apple-converted-space"/>
    <w:qFormat/>
    <w:rsid w:val="003A23DD"/>
  </w:style>
  <w:style w:type="character" w:styleId="Hipercze">
    <w:name w:val="Hyperlink"/>
    <w:basedOn w:val="Domylnaczcionkaakapitu"/>
    <w:uiPriority w:val="99"/>
    <w:unhideWhenUsed/>
    <w:rsid w:val="00A725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725B5"/>
    <w:rPr>
      <w:color w:val="605E5C"/>
      <w:shd w:val="clear" w:color="auto" w:fill="E1DFDD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1"/>
    <w:rsid w:val="00B469B1"/>
    <w:pPr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79212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A22"/>
    <w:pPr>
      <w:spacing w:line="240" w:lineRule="auto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7A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7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Styltekst">
    <w:name w:val="Styl tekst"/>
    <w:basedOn w:val="Normalny"/>
    <w:link w:val="StyltekstZnak"/>
    <w:qFormat/>
    <w:rsid w:val="007252A5"/>
    <w:pPr>
      <w:spacing w:after="0" w:line="360" w:lineRule="auto"/>
      <w:ind w:firstLine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qFormat/>
    <w:rsid w:val="00E54C3D"/>
    <w:rPr>
      <w:rFonts w:ascii="Calibri" w:eastAsia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821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2283</Words>
  <Characters>13700</Characters>
  <Application>Microsoft Office Word</Application>
  <DocSecurity>0</DocSecurity>
  <Lines>114</Lines>
  <Paragraphs>31</Paragraphs>
  <ScaleCrop>false</ScaleCrop>
  <Company/>
  <LinksUpToDate>false</LinksUpToDate>
  <CharactersWithSpaces>15952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Szmich</dc:creator>
  <dc:description/>
  <cp:lastModifiedBy>Anna</cp:lastModifiedBy>
  <cp:revision>41</cp:revision>
  <cp:lastPrinted>2024-05-07T20:57:00Z</cp:lastPrinted>
  <dcterms:created xsi:type="dcterms:W3CDTF">2024-08-13T19:05:00Z</dcterms:created>
  <dcterms:modified xsi:type="dcterms:W3CDTF">2026-04-30T11:42:00Z</dcterms:modified>
  <dc:language>pl-PL</dc:language>
</cp:coreProperties>
</file>